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B" w:rsidRPr="006866F9" w:rsidRDefault="00F968FF" w:rsidP="00F968FF">
      <w:pPr>
        <w:jc w:val="center"/>
        <w:rPr>
          <w:sz w:val="40"/>
          <w:szCs w:val="40"/>
        </w:rPr>
      </w:pPr>
      <w:r>
        <w:rPr>
          <w:sz w:val="40"/>
          <w:szCs w:val="40"/>
        </w:rPr>
        <w:t>Common Core Social Studies Learning Plan Template</w:t>
      </w:r>
    </w:p>
    <w:p w:rsidR="00AD5F9B" w:rsidRDefault="00AD5F9B">
      <w:pPr>
        <w:pStyle w:val="Footer"/>
      </w:pPr>
    </w:p>
    <w:p w:rsidR="003C79DA" w:rsidRDefault="003C79DA">
      <w:pPr>
        <w:pStyle w:val="Footer"/>
      </w:pPr>
      <w:r w:rsidRPr="00B81628">
        <w:rPr>
          <w:b/>
        </w:rPr>
        <w:t>Lesson Title</w:t>
      </w:r>
      <w:r w:rsidR="0015020E" w:rsidRPr="00B81628">
        <w:rPr>
          <w:b/>
        </w:rPr>
        <w:t>:</w:t>
      </w:r>
      <w:r w:rsidR="0015020E"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EC50B4">
        <w:t>Commerce Clause and US v. Lopez</w:t>
      </w:r>
    </w:p>
    <w:p w:rsidR="00AD5F9B" w:rsidRDefault="003C79DA" w:rsidP="0015020E">
      <w:pPr>
        <w:pStyle w:val="Footer"/>
      </w:pPr>
      <w:r>
        <w:fldChar w:fldCharType="end"/>
      </w:r>
      <w:r w:rsidR="00AD5F9B">
        <w:fldChar w:fldCharType="begin"/>
      </w:r>
      <w:r w:rsidR="00AD5F9B">
        <w:instrText xml:space="preserve"> TITLE   \* MERGEFORMAT </w:instrText>
      </w:r>
      <w:r w:rsidR="00AD5F9B">
        <w:fldChar w:fldCharType="end"/>
      </w:r>
      <w:r w:rsidR="00AD5F9B">
        <w:t xml:space="preserve"> </w:t>
      </w:r>
      <w:fldSimple w:instr=" AUTOTEXT  &quot;Top Line 1&quot;  \* MERGEFORMAT ">
        <w:r w:rsidR="00AD5F9B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2DC466" wp14:editId="24D4334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tangle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F9B" w:rsidRDefault="00AD5F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4379D" w:rsidRPr="0034379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+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DGWjYtMxZI1QonHQKXjeD3fKktTDray+aSRk3oIfu1ZKji2jNSQWWn//yQN70PAU&#10;rccPsgZ8ujXSVWvfqB4pCV0JgziwH0ZNx4d3FsdGggKhvevWw7FbbG9QBcZoHi3iCKMKrsIkXCxc&#10;N32aWlT7eFDavGWyR3aTYQWsHCjd3Wpjszy5WHchS951ThAQAlys0QZzffyZBMkqXsXEI7P5yiNB&#10;UXjXZU68eRkuouJNkedF+MvihyRteV0zYeEeNRWSP+vZQd2TGo6q0rLjtYWzKWm1WeedQjsKms6D&#10;KCCFqzncnNz8p2k4ssDlGaVwRoKbWeKV83jhkZJEXrIIYi8Ik5tkHpCEFOVTSrdcsH+nhMYMz+Jo&#10;Ebl2nGX9jFyUx29uyEtyNO25gbHR8T7DB924vlkNrkTt9obybtqf1cLmf6oFCOCx006xVqST2M1+&#10;vQcUq9y1rB9Au06lIE+YdaClVqofGI0wNzKsv2+pYhh17wXoPwkJsYPGHWCjzq3rRysVFUBk2GA0&#10;bXMzDaXtoPimhQiT/oW8hn+l4U6up2wOfxjMBEfmML/s0Dk/O6/TlF3+Bg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CJUJP6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AD5F9B" w:rsidRDefault="00AD5F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4379D" w:rsidRPr="0034379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fldSimple>
      <w:r w:rsidR="00AD5F9B">
        <w:fldChar w:fldCharType="begin"/>
      </w:r>
      <w:r w:rsidR="00AD5F9B">
        <w:instrText xml:space="preserve"> TITLE  \* Upper  \* MERGEFORMAT </w:instrText>
      </w:r>
      <w:r w:rsidR="00AD5F9B">
        <w:fldChar w:fldCharType="end"/>
      </w:r>
    </w:p>
    <w:p w:rsidR="00AD5F9B" w:rsidRDefault="00AD5F9B" w:rsidP="0015020E">
      <w:pPr>
        <w:pStyle w:val="Footer"/>
      </w:pPr>
      <w:r w:rsidRPr="00B81628">
        <w:rPr>
          <w:b/>
        </w:rPr>
        <w:t>Author Name: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EC50B4">
        <w:t>Richard Clark</w:t>
      </w:r>
    </w:p>
    <w:p w:rsidR="0015020E" w:rsidRDefault="00AD5F9B" w:rsidP="0015020E">
      <w:pPr>
        <w:spacing w:after="0" w:line="240" w:lineRule="auto"/>
      </w:pPr>
      <w:r>
        <w:fldChar w:fldCharType="end"/>
      </w:r>
    </w:p>
    <w:p w:rsidR="0015020E" w:rsidRDefault="00AD5F9B" w:rsidP="0015020E">
      <w:pPr>
        <w:spacing w:after="0" w:line="240" w:lineRule="auto"/>
      </w:pPr>
      <w:r w:rsidRPr="00B81628">
        <w:rPr>
          <w:b/>
        </w:rPr>
        <w:t>Contact Information:</w:t>
      </w:r>
      <w:r w:rsidR="0015020E">
        <w:t xml:space="preserve"> </w:t>
      </w:r>
      <w:r w:rsidR="0015020E">
        <w:fldChar w:fldCharType="begin"/>
      </w:r>
      <w:r w:rsidR="0015020E">
        <w:instrText xml:space="preserve"> AUTOTEXT  " Blank"  \* MERGEFORMAT </w:instrText>
      </w:r>
      <w:r w:rsidR="0015020E">
        <w:fldChar w:fldCharType="separate"/>
      </w:r>
      <w:r w:rsidR="00EC50B4">
        <w:t>rclark@washoeschoools.net</w:t>
      </w:r>
    </w:p>
    <w:p w:rsidR="00AD5F9B" w:rsidRDefault="0015020E" w:rsidP="0015020E">
      <w:pPr>
        <w:spacing w:after="0" w:line="240" w:lineRule="auto"/>
      </w:pPr>
      <w:r>
        <w:fldChar w:fldCharType="end"/>
      </w:r>
    </w:p>
    <w:p w:rsidR="003C79DA" w:rsidRDefault="003C79DA">
      <w:pPr>
        <w:pStyle w:val="Footer"/>
      </w:pPr>
      <w:r w:rsidRPr="00B81628">
        <w:rPr>
          <w:b/>
        </w:rPr>
        <w:t>Appropriate for Grade Level(s):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EC50B4">
        <w:t>12</w:t>
      </w:r>
      <w:r w:rsidR="00F30463" w:rsidRPr="00F30463">
        <w:rPr>
          <w:vertAlign w:val="superscript"/>
        </w:rPr>
        <w:t>th</w:t>
      </w:r>
      <w:r w:rsidR="00F30463">
        <w:t xml:space="preserve"> Grade:</w:t>
      </w:r>
      <w:r w:rsidR="00EC50B4">
        <w:t xml:space="preserve"> </w:t>
      </w:r>
      <w:r w:rsidR="00F30463">
        <w:t xml:space="preserve"> United States </w:t>
      </w:r>
      <w:r w:rsidR="00EC50B4">
        <w:t>government</w:t>
      </w:r>
    </w:p>
    <w:p w:rsidR="00486E71" w:rsidRDefault="003C79DA" w:rsidP="00486E71">
      <w:pPr>
        <w:spacing w:after="0" w:line="240" w:lineRule="auto"/>
      </w:pPr>
      <w:r>
        <w:fldChar w:fldCharType="end"/>
      </w:r>
    </w:p>
    <w:p w:rsidR="00710FBC" w:rsidRDefault="00792C7A" w:rsidP="00486E71">
      <w:pPr>
        <w:spacing w:after="0" w:line="240" w:lineRule="auto"/>
      </w:pPr>
      <w:r>
        <w:rPr>
          <w:b/>
        </w:rPr>
        <w:t>History Standard(s)</w:t>
      </w:r>
      <w:r w:rsidR="00650E38">
        <w:rPr>
          <w:b/>
        </w:rPr>
        <w:t>/Applicable CCSS(s)</w:t>
      </w:r>
      <w:r w:rsidR="00486E71">
        <w:rPr>
          <w:b/>
        </w:rPr>
        <w:t xml:space="preserve"> </w:t>
      </w:r>
      <w:r w:rsidR="0034379D">
        <w:rPr>
          <w:b/>
        </w:rPr>
        <w:t>(</w:t>
      </w:r>
      <w:r w:rsidR="00486E71">
        <w:rPr>
          <w:b/>
        </w:rPr>
        <w:t>RI, W, S&amp;L, L)</w:t>
      </w:r>
      <w:r>
        <w:rPr>
          <w:b/>
        </w:rPr>
        <w:t xml:space="preserve">: </w:t>
      </w:r>
      <w:r w:rsidR="00710FBC">
        <w:rPr>
          <w:b/>
        </w:rPr>
        <w:fldChar w:fldCharType="begin"/>
      </w:r>
      <w:r w:rsidR="00710FBC">
        <w:rPr>
          <w:b/>
        </w:rPr>
        <w:instrText xml:space="preserve"> AUTOTEXT  " Blank"  \* MERGEFORMAT </w:instrText>
      </w:r>
      <w:r w:rsidR="00710FBC">
        <w:rPr>
          <w:b/>
        </w:rPr>
        <w:fldChar w:fldCharType="separate"/>
      </w:r>
      <w:r w:rsidR="00753E34">
        <w:t>CCSS ELA RH. 11-12.1-6</w:t>
      </w:r>
      <w:proofErr w:type="gramStart"/>
      <w:r w:rsidR="00753E34">
        <w:t>,.8</w:t>
      </w:r>
      <w:proofErr w:type="gramEnd"/>
    </w:p>
    <w:p w:rsidR="00710FBC" w:rsidRDefault="00710FBC" w:rsidP="00082296">
      <w:pPr>
        <w:pStyle w:val="Footer"/>
        <w:rPr>
          <w:b/>
        </w:rPr>
      </w:pPr>
      <w:r>
        <w:rPr>
          <w:b/>
        </w:rPr>
        <w:fldChar w:fldCharType="end"/>
      </w:r>
    </w:p>
    <w:p w:rsidR="00082296" w:rsidRDefault="00F968FF" w:rsidP="00082296">
      <w:pPr>
        <w:pStyle w:val="Footer"/>
      </w:pPr>
      <w:r>
        <w:rPr>
          <w:b/>
        </w:rPr>
        <w:t>Type of Lesson</w:t>
      </w:r>
      <w:r w:rsidR="00082296" w:rsidRPr="00B81628">
        <w:rPr>
          <w:b/>
        </w:rPr>
        <w:t>:</w:t>
      </w:r>
      <w:r w:rsidR="00082296">
        <w:t xml:space="preserve"> </w:t>
      </w:r>
      <w:r w:rsidR="00082296">
        <w:fldChar w:fldCharType="begin"/>
      </w:r>
      <w:r w:rsidR="00082296">
        <w:instrText xml:space="preserve"> AUTOTEXT  " Blank"  \* MERGEFORMAT </w:instrText>
      </w:r>
      <w:r w:rsidR="00082296">
        <w:fldChar w:fldCharType="separate"/>
      </w:r>
      <w:r w:rsidR="00486E71">
        <w:t>Rese</w:t>
      </w:r>
      <w:r w:rsidR="00753E34">
        <w:t>arch Based Discussion Strategy</w:t>
      </w:r>
    </w:p>
    <w:p w:rsidR="00082296" w:rsidRDefault="00082296" w:rsidP="00082296">
      <w:pPr>
        <w:spacing w:after="0" w:line="240" w:lineRule="auto"/>
      </w:pPr>
      <w:r>
        <w:fldChar w:fldCharType="end"/>
      </w:r>
    </w:p>
    <w:p w:rsidR="00B81628" w:rsidRDefault="00B81628">
      <w:pPr>
        <w:pStyle w:val="Footer"/>
      </w:pPr>
      <w:r w:rsidRPr="00B81628">
        <w:rPr>
          <w:b/>
        </w:rPr>
        <w:t>Student Readings (list):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753E34">
        <w:t xml:space="preserve">Words We Live By – Linda Monk “To regulate Commerce with foreign nations, and among the several States, and with the Indian Tribe” </w:t>
      </w:r>
      <w:r w:rsidR="00984681">
        <w:t xml:space="preserve">US v. Lopez (93-1260), 514 U.S. 549 (1995) Majority Opinion – William Rehnquist &amp; Dissenting Opinion – Justice Stephan Breyer </w:t>
      </w:r>
    </w:p>
    <w:p w:rsidR="00B81628" w:rsidRDefault="00B81628" w:rsidP="00082296">
      <w:pPr>
        <w:spacing w:after="0" w:line="240" w:lineRule="auto"/>
      </w:pPr>
      <w:r>
        <w:fldChar w:fldCharType="end"/>
      </w:r>
    </w:p>
    <w:p w:rsidR="003C79DA" w:rsidRDefault="003C79DA">
      <w:pPr>
        <w:pStyle w:val="Footer"/>
      </w:pPr>
      <w:r w:rsidRPr="00B81628">
        <w:rPr>
          <w:b/>
        </w:rPr>
        <w:t>Total Time Needed: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984681">
        <w:t>1 – 50 minute class period or two 50 minute class if you read the materials in class</w:t>
      </w:r>
    </w:p>
    <w:p w:rsidR="003C79DA" w:rsidRDefault="003C79DA" w:rsidP="00082296">
      <w:pPr>
        <w:spacing w:after="0" w:line="240" w:lineRule="auto"/>
      </w:pPr>
      <w:r>
        <w:fldChar w:fldCharType="end"/>
      </w:r>
    </w:p>
    <w:p w:rsidR="00AD5F9B" w:rsidRPr="00B81628" w:rsidRDefault="003C79DA" w:rsidP="00AD5F9B">
      <w:pPr>
        <w:rPr>
          <w:b/>
        </w:rPr>
      </w:pPr>
      <w:r w:rsidRPr="00B81628">
        <w:rPr>
          <w:b/>
        </w:rPr>
        <w:t>Lesson Outline:</w:t>
      </w:r>
      <w:r w:rsidR="00984681">
        <w:rPr>
          <w:b/>
        </w:rPr>
        <w:t xml:space="preserve"> Structured Academic Controversy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234A16" w:rsidTr="00B64E3F">
        <w:tc>
          <w:tcPr>
            <w:tcW w:w="1440" w:type="dxa"/>
            <w:shd w:val="clear" w:color="auto" w:fill="B8CCE4" w:themeFill="accent1" w:themeFillTint="66"/>
          </w:tcPr>
          <w:p w:rsidR="00234A16" w:rsidRDefault="00234A16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  <w:p w:rsidR="00234A16" w:rsidRPr="003C79DA" w:rsidRDefault="00234A16" w:rsidP="003C79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(e.g. 15 minutes)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234A16" w:rsidRPr="003C79DA" w:rsidRDefault="00234A16" w:rsidP="0023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teacher doing?  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234A16" w:rsidRPr="003C79DA" w:rsidRDefault="00234A16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students doing?</w:t>
            </w:r>
          </w:p>
        </w:tc>
      </w:tr>
      <w:tr w:rsidR="00234A16" w:rsidTr="00234A16">
        <w:tc>
          <w:tcPr>
            <w:tcW w:w="1440" w:type="dxa"/>
          </w:tcPr>
          <w:p w:rsidR="00234A16" w:rsidRDefault="00984681" w:rsidP="00AD5F9B">
            <w:r>
              <w:t>5 minutes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984681" w:rsidP="00AD5F9B">
            <w:r>
              <w:t>Assign reading for homework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984681" w:rsidP="00AD5F9B">
            <w:r>
              <w:t>Listening to instructions on what to read</w:t>
            </w:r>
          </w:p>
        </w:tc>
      </w:tr>
      <w:tr w:rsidR="00234A16" w:rsidTr="00234A16">
        <w:tc>
          <w:tcPr>
            <w:tcW w:w="1440" w:type="dxa"/>
          </w:tcPr>
          <w:p w:rsidR="00234A16" w:rsidRDefault="00984681" w:rsidP="00AD5F9B">
            <w:r>
              <w:t>2 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984681" w:rsidP="00AD5F9B">
            <w:r>
              <w:t>Pass out graphic organizer &amp; assign groups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984681" w:rsidP="00AD5F9B">
            <w:r>
              <w:t>Sitting in assigned groups</w:t>
            </w:r>
          </w:p>
        </w:tc>
      </w:tr>
      <w:tr w:rsidR="00234A16" w:rsidTr="00234A16">
        <w:tc>
          <w:tcPr>
            <w:tcW w:w="1440" w:type="dxa"/>
          </w:tcPr>
          <w:p w:rsidR="00234A16" w:rsidRDefault="004C0ECB" w:rsidP="00AD5F9B">
            <w:r>
              <w:t>2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Explain directions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Listening</w:t>
            </w:r>
          </w:p>
        </w:tc>
      </w:tr>
      <w:tr w:rsidR="00234A16" w:rsidTr="00234A16">
        <w:tc>
          <w:tcPr>
            <w:tcW w:w="1440" w:type="dxa"/>
          </w:tcPr>
          <w:p w:rsidR="00234A16" w:rsidRDefault="004C0ECB" w:rsidP="00AD5F9B">
            <w:r>
              <w:t>5-7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 xml:space="preserve">Walking around answering question 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Prepping  their arguments in groups of 2/3</w:t>
            </w:r>
          </w:p>
        </w:tc>
      </w:tr>
      <w:tr w:rsidR="00234A16" w:rsidTr="00234A16">
        <w:tc>
          <w:tcPr>
            <w:tcW w:w="1440" w:type="dxa"/>
          </w:tcPr>
          <w:p w:rsidR="00234A16" w:rsidRDefault="004C0ECB" w:rsidP="00AD5F9B">
            <w:r>
              <w:t>1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Bringing order and preparing for the structured argument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Finalizing arguments and preparing to argue or listen and take notes</w:t>
            </w:r>
          </w:p>
        </w:tc>
      </w:tr>
      <w:tr w:rsidR="00234A16" w:rsidTr="00234A16">
        <w:tc>
          <w:tcPr>
            <w:tcW w:w="1440" w:type="dxa"/>
          </w:tcPr>
          <w:p w:rsidR="00234A16" w:rsidRDefault="004C0ECB" w:rsidP="00AD5F9B">
            <w:r>
              <w:t>2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Walking from group to group listening and answering any questions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234A16" w:rsidRDefault="004C0ECB" w:rsidP="00AD5F9B">
            <w:r>
              <w:t>Pro – Rehnquist present argue, pro- Breyer take notes and listen</w:t>
            </w:r>
          </w:p>
        </w:tc>
      </w:tr>
      <w:tr w:rsidR="004C0ECB" w:rsidTr="00234A16">
        <w:tc>
          <w:tcPr>
            <w:tcW w:w="1440" w:type="dxa"/>
          </w:tcPr>
          <w:p w:rsidR="004C0ECB" w:rsidRDefault="004C0ECB" w:rsidP="00AD5F9B">
            <w:r>
              <w:t>2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4C0ECB" w:rsidP="007121AF">
            <w:r>
              <w:t>Walking from group to group listening and answering any questions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4C0ECB" w:rsidP="004C0ECB">
            <w:r>
              <w:t>Pro- Breyer present argue, Pro – Rehnquist take notes and listen</w:t>
            </w:r>
          </w:p>
        </w:tc>
      </w:tr>
      <w:tr w:rsidR="004C0ECB" w:rsidTr="00234A16">
        <w:tc>
          <w:tcPr>
            <w:tcW w:w="1440" w:type="dxa"/>
          </w:tcPr>
          <w:p w:rsidR="004C0ECB" w:rsidRDefault="004C0ECB" w:rsidP="00AD5F9B">
            <w:r>
              <w:t>1 min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4C0ECB" w:rsidP="00AD5F9B">
            <w:r>
              <w:t>Instruct students to go through the group Discussion section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4C0ECB" w:rsidP="00AD5F9B">
            <w:r>
              <w:t>Listening to instructions</w:t>
            </w:r>
          </w:p>
        </w:tc>
      </w:tr>
      <w:tr w:rsidR="004C0ECB" w:rsidTr="00234A16">
        <w:tc>
          <w:tcPr>
            <w:tcW w:w="1440" w:type="dxa"/>
          </w:tcPr>
          <w:p w:rsidR="004C0ECB" w:rsidRDefault="004C0ECB" w:rsidP="00AD5F9B">
            <w:r>
              <w:t xml:space="preserve">5 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4C0ECB" w:rsidP="00AD5F9B">
            <w:r>
              <w:t>Walking from group to group listening and answering any questions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E16428" w:rsidP="00AD5F9B">
            <w:r>
              <w:t>Conducting group discussion</w:t>
            </w:r>
          </w:p>
        </w:tc>
      </w:tr>
      <w:tr w:rsidR="004C0ECB" w:rsidTr="00234A16">
        <w:tc>
          <w:tcPr>
            <w:tcW w:w="1440" w:type="dxa"/>
          </w:tcPr>
          <w:p w:rsidR="004C0ECB" w:rsidRDefault="00E16428" w:rsidP="00AD5F9B">
            <w:r>
              <w:t>5-8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E16428" w:rsidP="00AD5F9B">
            <w:r>
              <w:t>Discussing group questions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E16428" w:rsidP="00AD5F9B">
            <w:r>
              <w:t>Discussing group questions</w:t>
            </w:r>
          </w:p>
        </w:tc>
      </w:tr>
      <w:tr w:rsidR="004C0ECB" w:rsidTr="00234A16">
        <w:tc>
          <w:tcPr>
            <w:tcW w:w="1440" w:type="dxa"/>
          </w:tcPr>
          <w:p w:rsidR="004C0ECB" w:rsidRDefault="00E16428" w:rsidP="00AD5F9B">
            <w:r>
              <w:t xml:space="preserve">5 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E16428" w:rsidP="00AD5F9B">
            <w:r>
              <w:t>Walking from group to group listening and answering any questions</w:t>
            </w:r>
          </w:p>
        </w:tc>
        <w:tc>
          <w:tcPr>
            <w:tcW w:w="4680" w:type="dxa"/>
            <w:shd w:val="clear" w:color="auto" w:fill="FFFFFF" w:themeFill="background1"/>
          </w:tcPr>
          <w:p w:rsidR="004C0ECB" w:rsidRDefault="00E16428" w:rsidP="00E16428">
            <w:r>
              <w:t>Conducting reflection discussion</w:t>
            </w:r>
          </w:p>
        </w:tc>
      </w:tr>
      <w:tr w:rsidR="00E16428" w:rsidTr="00234A16">
        <w:tc>
          <w:tcPr>
            <w:tcW w:w="1440" w:type="dxa"/>
          </w:tcPr>
          <w:p w:rsidR="00E16428" w:rsidRDefault="00E16428" w:rsidP="007121AF">
            <w:r>
              <w:t>5-8</w:t>
            </w:r>
          </w:p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E16428">
            <w:r>
              <w:t>Discussing reflection questions</w:t>
            </w:r>
            <w:r w:rsidR="00F30463">
              <w:t xml:space="preserve"> &amp; wrapping up the SAC</w:t>
            </w:r>
          </w:p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E16428">
            <w:r>
              <w:t>Discussing reflection questions</w:t>
            </w:r>
            <w:r w:rsidR="00F30463">
              <w:t xml:space="preserve"> &amp; wrapping up the SAC</w:t>
            </w:r>
          </w:p>
        </w:tc>
      </w:tr>
      <w:tr w:rsidR="00E16428" w:rsidTr="00234A16">
        <w:tc>
          <w:tcPr>
            <w:tcW w:w="1440" w:type="dxa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</w:tr>
      <w:tr w:rsidR="00E16428" w:rsidTr="00234A16">
        <w:tc>
          <w:tcPr>
            <w:tcW w:w="1440" w:type="dxa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</w:tr>
      <w:tr w:rsidR="00E16428" w:rsidTr="00234A16">
        <w:tc>
          <w:tcPr>
            <w:tcW w:w="1440" w:type="dxa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  <w:tc>
          <w:tcPr>
            <w:tcW w:w="4680" w:type="dxa"/>
            <w:shd w:val="clear" w:color="auto" w:fill="FFFFFF" w:themeFill="background1"/>
          </w:tcPr>
          <w:p w:rsidR="00E16428" w:rsidRDefault="00E16428" w:rsidP="00AD5F9B"/>
        </w:tc>
      </w:tr>
    </w:tbl>
    <w:p w:rsidR="003C79DA" w:rsidRDefault="003C79DA" w:rsidP="00AD5F9B"/>
    <w:p w:rsidR="003C79DA" w:rsidRDefault="003C79DA">
      <w:pPr>
        <w:pStyle w:val="Footer"/>
      </w:pPr>
      <w:r w:rsidRPr="00B81628">
        <w:rPr>
          <w:b/>
        </w:rPr>
        <w:lastRenderedPageBreak/>
        <w:t>Description of Lesson Assessment: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r w:rsidR="00F30463">
        <w:t>Students will turn in their graphic organizer and written arguments. Most of the assessment will come from the discussion and reflection questions</w:t>
      </w:r>
    </w:p>
    <w:p w:rsidR="00AD5F9B" w:rsidRDefault="003C79DA" w:rsidP="003C79DA">
      <w:r>
        <w:fldChar w:fldCharType="end"/>
      </w:r>
    </w:p>
    <w:p w:rsidR="00641B3F" w:rsidRDefault="00641B3F">
      <w:pPr>
        <w:pStyle w:val="Footer"/>
      </w:pPr>
      <w:r w:rsidRPr="00641B3F">
        <w:rPr>
          <w:b/>
        </w:rPr>
        <w:t>How will students reflect on the process and their learning?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AUTOTEXT  " Blank"  \* MERGEFORMAT </w:instrText>
      </w:r>
      <w:r>
        <w:rPr>
          <w:b/>
        </w:rPr>
        <w:fldChar w:fldCharType="separate"/>
      </w:r>
      <w:r w:rsidR="00F30463">
        <w:t>It is built into the lesson!</w:t>
      </w:r>
    </w:p>
    <w:p w:rsidR="00CA6AB2" w:rsidRDefault="00641B3F" w:rsidP="003C79DA">
      <w:pPr>
        <w:rPr>
          <w:b/>
        </w:rPr>
      </w:pPr>
      <w:r>
        <w:rPr>
          <w:b/>
        </w:rPr>
        <w:fldChar w:fldCharType="end"/>
      </w:r>
    </w:p>
    <w:p w:rsidR="00CA6AB2" w:rsidRDefault="00CA6AB2">
      <w:pPr>
        <w:rPr>
          <w:b/>
        </w:rPr>
      </w:pPr>
      <w:r>
        <w:rPr>
          <w:b/>
        </w:rPr>
        <w:br w:type="page"/>
      </w:r>
    </w:p>
    <w:p w:rsidR="00CA6AB2" w:rsidRPr="004B45CB" w:rsidRDefault="00CA6AB2" w:rsidP="00CA6AB2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lastRenderedPageBreak/>
        <w:t>US.</w:t>
      </w:r>
      <w:proofErr w:type="gramEnd"/>
      <w:r>
        <w:rPr>
          <w:b/>
          <w:sz w:val="20"/>
          <w:szCs w:val="20"/>
          <w:u w:val="single"/>
        </w:rPr>
        <w:t xml:space="preserve"> v. Lopez and the Commerce Clause</w:t>
      </w:r>
    </w:p>
    <w:p w:rsidR="00CA6AB2" w:rsidRPr="005C7F85" w:rsidRDefault="00CA6AB2" w:rsidP="00CA6AB2">
      <w:pPr>
        <w:rPr>
          <w:b/>
          <w:sz w:val="20"/>
          <w:szCs w:val="20"/>
        </w:rPr>
      </w:pPr>
      <w:r w:rsidRPr="005C7F85">
        <w:rPr>
          <w:b/>
          <w:sz w:val="20"/>
          <w:szCs w:val="20"/>
        </w:rPr>
        <w:t>Handout A:</w:t>
      </w:r>
    </w:p>
    <w:p w:rsidR="00CA6AB2" w:rsidRPr="005C7F85" w:rsidRDefault="00CA6AB2" w:rsidP="00CA6AB2">
      <w:pPr>
        <w:rPr>
          <w:b/>
          <w:sz w:val="20"/>
          <w:szCs w:val="20"/>
        </w:rPr>
      </w:pPr>
    </w:p>
    <w:p w:rsidR="00CA6AB2" w:rsidRPr="005C7F85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</w:t>
      </w:r>
    </w:p>
    <w:p w:rsidR="00CA6AB2" w:rsidRPr="005C7F85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 - US v. Lopez</w:t>
      </w:r>
    </w:p>
    <w:p w:rsidR="00CA6AB2" w:rsidRPr="00B01F9F" w:rsidRDefault="00CA6AB2" w:rsidP="00CA6AB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01F9F">
        <w:rPr>
          <w:sz w:val="20"/>
          <w:szCs w:val="20"/>
        </w:rPr>
        <w:t xml:space="preserve">Using the information you learned regarding the commerce clause, take the position of a pro-Lopez advocate. Using the space below provide 2 or 3 pieces of information </w:t>
      </w:r>
      <w:r>
        <w:rPr>
          <w:sz w:val="20"/>
          <w:szCs w:val="20"/>
        </w:rPr>
        <w:t xml:space="preserve">from Justice </w:t>
      </w:r>
      <w:proofErr w:type="gramStart"/>
      <w:r>
        <w:rPr>
          <w:sz w:val="20"/>
          <w:szCs w:val="20"/>
        </w:rPr>
        <w:t>Rehnquist’s  majority</w:t>
      </w:r>
      <w:proofErr w:type="gramEnd"/>
      <w:r>
        <w:rPr>
          <w:sz w:val="20"/>
          <w:szCs w:val="20"/>
        </w:rPr>
        <w:t xml:space="preserve"> opinion that helps to support your argument.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sure to use Justice Breyer’s dissenting opinion as a counter-claim to bolster your argument.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B01F9F" w:rsidRDefault="00CA6AB2" w:rsidP="00CA6AB2">
      <w:pPr>
        <w:rPr>
          <w:b/>
          <w:sz w:val="20"/>
          <w:szCs w:val="20"/>
        </w:rPr>
      </w:pPr>
      <w:r w:rsidRPr="00B01F9F">
        <w:rPr>
          <w:b/>
          <w:sz w:val="20"/>
          <w:szCs w:val="20"/>
        </w:rPr>
        <w:t>Step 2</w:t>
      </w:r>
    </w:p>
    <w:p w:rsidR="00CA6AB2" w:rsidRPr="005C7F85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Anti – US v. Lopez</w:t>
      </w:r>
    </w:p>
    <w:p w:rsidR="00CA6AB2" w:rsidRPr="005C7F85" w:rsidRDefault="00CA6AB2" w:rsidP="00CA6AB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listening to their argument, w</w:t>
      </w:r>
      <w:r w:rsidRPr="005C7F85">
        <w:rPr>
          <w:sz w:val="20"/>
          <w:szCs w:val="20"/>
        </w:rPr>
        <w:t>hat piece of evidence did your opponents provide that you thought was relevant to the anti-</w:t>
      </w:r>
      <w:r>
        <w:rPr>
          <w:sz w:val="20"/>
          <w:szCs w:val="20"/>
        </w:rPr>
        <w:t>Lopez</w:t>
      </w:r>
      <w:r w:rsidRPr="005C7F85">
        <w:rPr>
          <w:sz w:val="20"/>
          <w:szCs w:val="20"/>
        </w:rPr>
        <w:t xml:space="preserve"> position?  What piece of evidence did they </w:t>
      </w:r>
      <w:r>
        <w:rPr>
          <w:sz w:val="20"/>
          <w:szCs w:val="20"/>
        </w:rPr>
        <w:t xml:space="preserve">bring forth that was </w:t>
      </w:r>
      <w:r w:rsidRPr="005C7F85">
        <w:rPr>
          <w:sz w:val="20"/>
          <w:szCs w:val="20"/>
        </w:rPr>
        <w:t xml:space="preserve">weak or irrelevant? What further evidence would you use </w:t>
      </w:r>
      <w:r>
        <w:rPr>
          <w:sz w:val="20"/>
          <w:szCs w:val="20"/>
        </w:rPr>
        <w:t xml:space="preserve">to make their argument stronger? Using the space below provide </w:t>
      </w:r>
      <w:r w:rsidRPr="005C7F85">
        <w:rPr>
          <w:sz w:val="20"/>
          <w:szCs w:val="20"/>
        </w:rPr>
        <w:t>2 or 3 pieces of information that would help you advance this position.</w:t>
      </w: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E15130" w:rsidRDefault="00CA6AB2" w:rsidP="00CA6AB2">
      <w:pPr>
        <w:rPr>
          <w:b/>
          <w:sz w:val="20"/>
          <w:szCs w:val="20"/>
        </w:rPr>
      </w:pPr>
      <w:r w:rsidRPr="00E15130">
        <w:rPr>
          <w:b/>
          <w:sz w:val="20"/>
          <w:szCs w:val="20"/>
        </w:rPr>
        <w:t xml:space="preserve">Group Discussion: </w:t>
      </w:r>
      <w:r>
        <w:rPr>
          <w:b/>
          <w:sz w:val="20"/>
          <w:szCs w:val="20"/>
        </w:rPr>
        <w:t>Commerce clause</w:t>
      </w:r>
      <w:r w:rsidRPr="00E15130">
        <w:rPr>
          <w:b/>
          <w:sz w:val="20"/>
          <w:szCs w:val="20"/>
        </w:rPr>
        <w:t xml:space="preserve"> today -</w:t>
      </w: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does Justice Rehnquist define commerce</w:t>
      </w:r>
      <w:r w:rsidRPr="005C7F85">
        <w:rPr>
          <w:sz w:val="20"/>
          <w:szCs w:val="20"/>
        </w:rPr>
        <w:t>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Give some examples of things that would fall inside congressional power of commerce. What would fall </w:t>
      </w:r>
      <w:proofErr w:type="gramStart"/>
      <w:r>
        <w:rPr>
          <w:sz w:val="20"/>
          <w:szCs w:val="20"/>
        </w:rPr>
        <w:t>outside ?</w:t>
      </w:r>
      <w:proofErr w:type="gramEnd"/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E15130" w:rsidRDefault="00CA6AB2" w:rsidP="00CA6AB2">
      <w:pPr>
        <w:rPr>
          <w:b/>
          <w:sz w:val="20"/>
          <w:szCs w:val="20"/>
        </w:rPr>
      </w:pPr>
      <w:r w:rsidRPr="00E15130">
        <w:rPr>
          <w:b/>
          <w:sz w:val="20"/>
          <w:szCs w:val="20"/>
        </w:rPr>
        <w:t xml:space="preserve">Refection: 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E0EB8">
        <w:rPr>
          <w:sz w:val="20"/>
          <w:szCs w:val="20"/>
        </w:rPr>
        <w:t>What common ground did you find with other members of the group</w:t>
      </w:r>
      <w:r>
        <w:rPr>
          <w:sz w:val="20"/>
          <w:szCs w:val="20"/>
        </w:rPr>
        <w:t>?</w:t>
      </w: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Pr="005E0EB8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you learn about the commerce clause today that you did not know before?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C7F85">
        <w:rPr>
          <w:sz w:val="20"/>
          <w:szCs w:val="20"/>
        </w:rPr>
        <w:t xml:space="preserve">What are two questions about this </w:t>
      </w:r>
      <w:r>
        <w:rPr>
          <w:sz w:val="20"/>
          <w:szCs w:val="20"/>
        </w:rPr>
        <w:t>subject</w:t>
      </w:r>
      <w:r w:rsidRPr="005C7F85">
        <w:rPr>
          <w:sz w:val="20"/>
          <w:szCs w:val="20"/>
        </w:rPr>
        <w:t xml:space="preserve"> that you </w:t>
      </w:r>
      <w:r>
        <w:rPr>
          <w:sz w:val="20"/>
          <w:szCs w:val="20"/>
        </w:rPr>
        <w:t>still have?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jc w:val="center"/>
        <w:rPr>
          <w:b/>
          <w:sz w:val="20"/>
          <w:szCs w:val="20"/>
          <w:u w:val="single"/>
        </w:rPr>
      </w:pPr>
    </w:p>
    <w:p w:rsidR="00CA6AB2" w:rsidRDefault="00CA6AB2" w:rsidP="00CA6AB2">
      <w:pPr>
        <w:jc w:val="center"/>
        <w:rPr>
          <w:b/>
          <w:sz w:val="20"/>
          <w:szCs w:val="20"/>
          <w:u w:val="single"/>
        </w:rPr>
      </w:pPr>
    </w:p>
    <w:p w:rsidR="00CA6AB2" w:rsidRDefault="00CA6AB2" w:rsidP="00CA6AB2">
      <w:pPr>
        <w:jc w:val="center"/>
        <w:rPr>
          <w:b/>
          <w:sz w:val="20"/>
          <w:szCs w:val="20"/>
          <w:u w:val="single"/>
        </w:rPr>
      </w:pPr>
    </w:p>
    <w:p w:rsidR="00CA6AB2" w:rsidRPr="00B01F9F" w:rsidRDefault="00CA6AB2" w:rsidP="00CA6AB2">
      <w:pPr>
        <w:jc w:val="center"/>
        <w:rPr>
          <w:b/>
          <w:sz w:val="20"/>
          <w:szCs w:val="20"/>
          <w:u w:val="single"/>
        </w:rPr>
      </w:pPr>
      <w:proofErr w:type="gramStart"/>
      <w:r w:rsidRPr="00B01F9F">
        <w:rPr>
          <w:b/>
          <w:sz w:val="20"/>
          <w:szCs w:val="20"/>
          <w:u w:val="single"/>
        </w:rPr>
        <w:lastRenderedPageBreak/>
        <w:t>US.</w:t>
      </w:r>
      <w:proofErr w:type="gramEnd"/>
      <w:r w:rsidRPr="00B01F9F">
        <w:rPr>
          <w:b/>
          <w:sz w:val="20"/>
          <w:szCs w:val="20"/>
          <w:u w:val="single"/>
        </w:rPr>
        <w:t xml:space="preserve"> v. Lopez and the Commerce Clause</w:t>
      </w:r>
    </w:p>
    <w:p w:rsidR="00CA6AB2" w:rsidRPr="00B01F9F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Handout B</w:t>
      </w:r>
      <w:r w:rsidRPr="00B01F9F">
        <w:rPr>
          <w:b/>
          <w:sz w:val="20"/>
          <w:szCs w:val="20"/>
        </w:rPr>
        <w:t>:</w:t>
      </w:r>
    </w:p>
    <w:p w:rsidR="00CA6AB2" w:rsidRPr="00B01F9F" w:rsidRDefault="00CA6AB2" w:rsidP="00CA6AB2">
      <w:pPr>
        <w:pStyle w:val="ListParagraph"/>
        <w:rPr>
          <w:b/>
          <w:sz w:val="20"/>
          <w:szCs w:val="20"/>
        </w:rPr>
      </w:pPr>
    </w:p>
    <w:p w:rsidR="00CA6AB2" w:rsidRPr="00B01F9F" w:rsidRDefault="00CA6AB2" w:rsidP="00CA6AB2">
      <w:pPr>
        <w:rPr>
          <w:b/>
          <w:sz w:val="20"/>
          <w:szCs w:val="20"/>
        </w:rPr>
      </w:pPr>
      <w:r w:rsidRPr="00B01F9F">
        <w:rPr>
          <w:b/>
          <w:sz w:val="20"/>
          <w:szCs w:val="20"/>
        </w:rPr>
        <w:t>Step 1</w:t>
      </w:r>
    </w:p>
    <w:p w:rsidR="00CA6AB2" w:rsidRPr="00B01F9F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Anti</w:t>
      </w:r>
      <w:r w:rsidRPr="00B01F9F">
        <w:rPr>
          <w:b/>
          <w:sz w:val="20"/>
          <w:szCs w:val="20"/>
        </w:rPr>
        <w:t xml:space="preserve"> - US v. Lopez</w:t>
      </w:r>
    </w:p>
    <w:p w:rsidR="00CA6AB2" w:rsidRPr="00B01F9F" w:rsidRDefault="00CA6AB2" w:rsidP="00CA6AB2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01F9F">
        <w:rPr>
          <w:sz w:val="20"/>
          <w:szCs w:val="20"/>
        </w:rPr>
        <w:t>Using the information you learned regarding the commerce clause</w:t>
      </w:r>
      <w:r>
        <w:rPr>
          <w:sz w:val="20"/>
          <w:szCs w:val="20"/>
        </w:rPr>
        <w:t>, take the position of an anti</w:t>
      </w:r>
      <w:r w:rsidRPr="00B01F9F">
        <w:rPr>
          <w:sz w:val="20"/>
          <w:szCs w:val="20"/>
        </w:rPr>
        <w:t xml:space="preserve">-Lopez advocate. Using the space below provide 2 or 3 pieces of information </w:t>
      </w:r>
      <w:r>
        <w:rPr>
          <w:sz w:val="20"/>
          <w:szCs w:val="20"/>
        </w:rPr>
        <w:t>from Justice Breyer’s dissenting opinion that helps to support your argument.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sure to use Justice Rehnquist majority opinion as a counter-claim to bolster your argument.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B01F9F" w:rsidRDefault="00CA6AB2" w:rsidP="00CA6AB2">
      <w:pPr>
        <w:rPr>
          <w:b/>
          <w:sz w:val="20"/>
          <w:szCs w:val="20"/>
        </w:rPr>
      </w:pPr>
      <w:r w:rsidRPr="00B01F9F">
        <w:rPr>
          <w:b/>
          <w:sz w:val="20"/>
          <w:szCs w:val="20"/>
        </w:rPr>
        <w:t>Step 2</w:t>
      </w:r>
    </w:p>
    <w:p w:rsidR="00CA6AB2" w:rsidRPr="005C7F85" w:rsidRDefault="00CA6AB2" w:rsidP="00CA6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 – US v. Lopez</w:t>
      </w:r>
    </w:p>
    <w:p w:rsidR="00CA6AB2" w:rsidRPr="00B01F9F" w:rsidRDefault="00CA6AB2" w:rsidP="00CA6AB2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listening to their argument, w</w:t>
      </w:r>
      <w:r w:rsidRPr="005C7F85">
        <w:rPr>
          <w:sz w:val="20"/>
          <w:szCs w:val="20"/>
        </w:rPr>
        <w:t xml:space="preserve">hat piece of evidence did your opponents provide that you thought was relevant to the </w:t>
      </w:r>
      <w:r>
        <w:rPr>
          <w:sz w:val="20"/>
          <w:szCs w:val="20"/>
        </w:rPr>
        <w:t>pro</w:t>
      </w:r>
      <w:r w:rsidRPr="005C7F85">
        <w:rPr>
          <w:sz w:val="20"/>
          <w:szCs w:val="20"/>
        </w:rPr>
        <w:t>-</w:t>
      </w:r>
      <w:r>
        <w:rPr>
          <w:sz w:val="20"/>
          <w:szCs w:val="20"/>
        </w:rPr>
        <w:t>Lopez</w:t>
      </w:r>
      <w:r w:rsidRPr="005C7F85">
        <w:rPr>
          <w:sz w:val="20"/>
          <w:szCs w:val="20"/>
        </w:rPr>
        <w:t xml:space="preserve"> position?  What piece of evidence did they </w:t>
      </w:r>
      <w:r>
        <w:rPr>
          <w:sz w:val="20"/>
          <w:szCs w:val="20"/>
        </w:rPr>
        <w:t xml:space="preserve">bring forth that was </w:t>
      </w:r>
      <w:r w:rsidRPr="005C7F85">
        <w:rPr>
          <w:sz w:val="20"/>
          <w:szCs w:val="20"/>
        </w:rPr>
        <w:t xml:space="preserve">weak or irrelevant? What further evidence would you use </w:t>
      </w:r>
      <w:r>
        <w:rPr>
          <w:sz w:val="20"/>
          <w:szCs w:val="20"/>
        </w:rPr>
        <w:t xml:space="preserve">to make their argument stronger? Using the space below provide </w:t>
      </w:r>
      <w:r w:rsidRPr="005C7F85">
        <w:rPr>
          <w:sz w:val="20"/>
          <w:szCs w:val="20"/>
        </w:rPr>
        <w:t>2 or 3 pieces of information that would help you advance this position.</w:t>
      </w:r>
    </w:p>
    <w:p w:rsidR="00CA6AB2" w:rsidRPr="005C7F85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5C7F85" w:rsidRDefault="00CA6AB2" w:rsidP="00CA6AB2">
      <w:pPr>
        <w:rPr>
          <w:sz w:val="20"/>
          <w:szCs w:val="20"/>
        </w:rPr>
      </w:pPr>
    </w:p>
    <w:p w:rsidR="00CA6AB2" w:rsidRPr="00E15130" w:rsidRDefault="00CA6AB2" w:rsidP="00CA6AB2">
      <w:pPr>
        <w:rPr>
          <w:b/>
          <w:sz w:val="20"/>
          <w:szCs w:val="20"/>
        </w:rPr>
      </w:pPr>
      <w:r w:rsidRPr="00E15130">
        <w:rPr>
          <w:b/>
          <w:sz w:val="20"/>
          <w:szCs w:val="20"/>
        </w:rPr>
        <w:t xml:space="preserve">Group Discussion: </w:t>
      </w:r>
      <w:r>
        <w:rPr>
          <w:b/>
          <w:sz w:val="20"/>
          <w:szCs w:val="20"/>
        </w:rPr>
        <w:t>Commerce clause</w:t>
      </w:r>
      <w:r w:rsidRPr="00E15130">
        <w:rPr>
          <w:b/>
          <w:sz w:val="20"/>
          <w:szCs w:val="20"/>
        </w:rPr>
        <w:t xml:space="preserve"> today -</w:t>
      </w: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does Justice Rehnquist define commerce</w:t>
      </w:r>
      <w:r w:rsidRPr="005C7F85">
        <w:rPr>
          <w:sz w:val="20"/>
          <w:szCs w:val="20"/>
        </w:rPr>
        <w:t>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Give some examples of things that would fall inside congressional power of commerce. What would fall </w:t>
      </w:r>
      <w:proofErr w:type="gramStart"/>
      <w:r>
        <w:rPr>
          <w:sz w:val="20"/>
          <w:szCs w:val="20"/>
        </w:rPr>
        <w:t>outside ?</w:t>
      </w:r>
      <w:proofErr w:type="gramEnd"/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ind w:left="720"/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Pr="00E15130" w:rsidRDefault="00CA6AB2" w:rsidP="00CA6AB2">
      <w:pPr>
        <w:rPr>
          <w:b/>
          <w:sz w:val="20"/>
          <w:szCs w:val="20"/>
        </w:rPr>
      </w:pPr>
      <w:r w:rsidRPr="00E15130">
        <w:rPr>
          <w:b/>
          <w:sz w:val="20"/>
          <w:szCs w:val="20"/>
        </w:rPr>
        <w:t xml:space="preserve">Refection: 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E0EB8">
        <w:rPr>
          <w:sz w:val="20"/>
          <w:szCs w:val="20"/>
        </w:rPr>
        <w:t>What common ground did you find with other members of the group</w:t>
      </w:r>
      <w:r>
        <w:rPr>
          <w:sz w:val="20"/>
          <w:szCs w:val="20"/>
        </w:rPr>
        <w:t>?</w:t>
      </w: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ind w:left="360"/>
        <w:rPr>
          <w:sz w:val="20"/>
          <w:szCs w:val="20"/>
        </w:rPr>
      </w:pPr>
    </w:p>
    <w:p w:rsidR="00CA6AB2" w:rsidRPr="005E0EB8" w:rsidRDefault="00CA6AB2" w:rsidP="00CA6AB2">
      <w:pPr>
        <w:ind w:left="360"/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you learn about the commerce clause today that you did not know before?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C7F85">
        <w:rPr>
          <w:sz w:val="20"/>
          <w:szCs w:val="20"/>
        </w:rPr>
        <w:t xml:space="preserve">What are two questions about this </w:t>
      </w:r>
      <w:r>
        <w:rPr>
          <w:sz w:val="20"/>
          <w:szCs w:val="20"/>
        </w:rPr>
        <w:t>subject</w:t>
      </w:r>
      <w:r w:rsidRPr="005C7F85">
        <w:rPr>
          <w:sz w:val="20"/>
          <w:szCs w:val="20"/>
        </w:rPr>
        <w:t xml:space="preserve"> that you </w:t>
      </w:r>
      <w:r>
        <w:rPr>
          <w:sz w:val="20"/>
          <w:szCs w:val="20"/>
        </w:rPr>
        <w:t>still have?</w:t>
      </w:r>
    </w:p>
    <w:p w:rsidR="00CA6AB2" w:rsidRDefault="00CA6AB2" w:rsidP="00CA6AB2">
      <w:pPr>
        <w:rPr>
          <w:sz w:val="20"/>
          <w:szCs w:val="20"/>
        </w:rPr>
      </w:pPr>
    </w:p>
    <w:p w:rsidR="00CA6AB2" w:rsidRDefault="00CA6AB2" w:rsidP="00CA6AB2"/>
    <w:p w:rsidR="00CA6AB2" w:rsidRDefault="00CA6AB2">
      <w:pPr>
        <w:rPr>
          <w:b/>
        </w:rPr>
        <w:sectPr w:rsidR="00CA6AB2" w:rsidSect="006667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A6AB2" w:rsidRDefault="00CA6AB2">
      <w:pPr>
        <w:rPr>
          <w:b/>
        </w:rPr>
      </w:pPr>
      <w:bookmarkStart w:id="0" w:name="_GoBack"/>
      <w:bookmarkEnd w:id="0"/>
      <w:r>
        <w:rPr>
          <w:b/>
        </w:rPr>
        <w:lastRenderedPageBreak/>
        <w:br w:type="page"/>
      </w:r>
    </w:p>
    <w:p w:rsidR="003C79DA" w:rsidRPr="00641B3F" w:rsidRDefault="003C79DA" w:rsidP="003C79DA">
      <w:pPr>
        <w:rPr>
          <w:b/>
        </w:rPr>
      </w:pPr>
    </w:p>
    <w:sectPr w:rsidR="003C79DA" w:rsidRPr="00641B3F" w:rsidSect="00CA6AB2"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69" w:rsidRDefault="00670669" w:rsidP="00082296">
      <w:pPr>
        <w:spacing w:after="0" w:line="240" w:lineRule="auto"/>
      </w:pPr>
      <w:r>
        <w:separator/>
      </w:r>
    </w:p>
  </w:endnote>
  <w:endnote w:type="continuationSeparator" w:id="0">
    <w:p w:rsidR="00670669" w:rsidRDefault="00670669" w:rsidP="000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1" w:rsidRDefault="00486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sz w:val="19"/>
        <w:szCs w:val="19"/>
      </w:rPr>
      <w:alias w:val="Company"/>
      <w:id w:val="270665196"/>
      <w:placeholder>
        <w:docPart w:val="64A1B075907F408CBC175FD8E3CFC57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82296" w:rsidRPr="003A2F05" w:rsidRDefault="00890F38" w:rsidP="00710FBC">
        <w:pPr>
          <w:pStyle w:val="Footer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19"/>
            <w:szCs w:val="19"/>
          </w:rPr>
        </w:pPr>
        <w:r>
          <w:rPr>
            <w:i/>
            <w:iCs/>
            <w:color w:val="8C8C8C" w:themeColor="background1" w:themeShade="8C"/>
            <w:sz w:val="19"/>
            <w:szCs w:val="19"/>
          </w:rPr>
          <w:t xml:space="preserve">The pages that follow the </w:t>
        </w:r>
        <w:r w:rsidR="00486E71">
          <w:rPr>
            <w:i/>
            <w:iCs/>
            <w:color w:val="8C8C8C" w:themeColor="background1" w:themeShade="8C"/>
            <w:sz w:val="19"/>
            <w:szCs w:val="19"/>
          </w:rPr>
          <w:t xml:space="preserve">Learning </w:t>
        </w:r>
        <w:r w:rsidR="0016112E">
          <w:rPr>
            <w:i/>
            <w:iCs/>
            <w:color w:val="8C8C8C" w:themeColor="background1" w:themeShade="8C"/>
            <w:sz w:val="19"/>
            <w:szCs w:val="19"/>
          </w:rPr>
          <w:t xml:space="preserve">Plan Template includes </w:t>
        </w:r>
        <w:r>
          <w:rPr>
            <w:i/>
            <w:iCs/>
            <w:color w:val="8C8C8C" w:themeColor="background1" w:themeShade="8C"/>
            <w:sz w:val="19"/>
            <w:szCs w:val="19"/>
          </w:rPr>
          <w:t xml:space="preserve"> student readings and reading strategy/questions, source(s), handouts, assignment sheet, self-assessment/reflection and a rubric related to this lesson.</w:t>
        </w:r>
      </w:p>
    </w:sdtContent>
  </w:sdt>
  <w:p w:rsidR="00082296" w:rsidRDefault="00082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1" w:rsidRDefault="00486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69" w:rsidRDefault="00670669" w:rsidP="00082296">
      <w:pPr>
        <w:spacing w:after="0" w:line="240" w:lineRule="auto"/>
      </w:pPr>
      <w:r>
        <w:separator/>
      </w:r>
    </w:p>
  </w:footnote>
  <w:footnote w:type="continuationSeparator" w:id="0">
    <w:p w:rsidR="00670669" w:rsidRDefault="00670669" w:rsidP="0008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1" w:rsidRDefault="00486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1" w:rsidRDefault="00486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1" w:rsidRDefault="00486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CDA"/>
    <w:multiLevelType w:val="hybridMultilevel"/>
    <w:tmpl w:val="B2D4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61D7E"/>
    <w:multiLevelType w:val="hybridMultilevel"/>
    <w:tmpl w:val="A7DAD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B6064"/>
    <w:multiLevelType w:val="hybridMultilevel"/>
    <w:tmpl w:val="AC2E0800"/>
    <w:lvl w:ilvl="0" w:tplc="D388B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DD7233"/>
    <w:multiLevelType w:val="hybridMultilevel"/>
    <w:tmpl w:val="B2D4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E2F43"/>
    <w:multiLevelType w:val="hybridMultilevel"/>
    <w:tmpl w:val="B2D40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5"/>
    <w:rsid w:val="00082296"/>
    <w:rsid w:val="000E5693"/>
    <w:rsid w:val="0015020E"/>
    <w:rsid w:val="0016112E"/>
    <w:rsid w:val="001C308A"/>
    <w:rsid w:val="00234A16"/>
    <w:rsid w:val="00276966"/>
    <w:rsid w:val="00326CCF"/>
    <w:rsid w:val="0034379D"/>
    <w:rsid w:val="003576A4"/>
    <w:rsid w:val="003A2F05"/>
    <w:rsid w:val="003C79DA"/>
    <w:rsid w:val="00486E71"/>
    <w:rsid w:val="004C0ECB"/>
    <w:rsid w:val="00597701"/>
    <w:rsid w:val="005A7925"/>
    <w:rsid w:val="00641B3F"/>
    <w:rsid w:val="00650E38"/>
    <w:rsid w:val="006667C5"/>
    <w:rsid w:val="00670669"/>
    <w:rsid w:val="006866F9"/>
    <w:rsid w:val="00710FBC"/>
    <w:rsid w:val="00753623"/>
    <w:rsid w:val="00753E34"/>
    <w:rsid w:val="00792C7A"/>
    <w:rsid w:val="007B6DA1"/>
    <w:rsid w:val="00833FF5"/>
    <w:rsid w:val="00890F38"/>
    <w:rsid w:val="009442E0"/>
    <w:rsid w:val="0094639D"/>
    <w:rsid w:val="00984681"/>
    <w:rsid w:val="009B4F3B"/>
    <w:rsid w:val="009E5908"/>
    <w:rsid w:val="00AD5F9B"/>
    <w:rsid w:val="00AE4871"/>
    <w:rsid w:val="00B169F1"/>
    <w:rsid w:val="00B76D77"/>
    <w:rsid w:val="00B81628"/>
    <w:rsid w:val="00CA6AB2"/>
    <w:rsid w:val="00CA7048"/>
    <w:rsid w:val="00CD2122"/>
    <w:rsid w:val="00E16428"/>
    <w:rsid w:val="00E9406B"/>
    <w:rsid w:val="00EC50B4"/>
    <w:rsid w:val="00F22072"/>
    <w:rsid w:val="00F30463"/>
    <w:rsid w:val="00F70C4C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F9B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5F9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96"/>
  </w:style>
  <w:style w:type="paragraph" w:styleId="ListParagraph">
    <w:name w:val="List Paragraph"/>
    <w:basedOn w:val="Normal"/>
    <w:uiPriority w:val="34"/>
    <w:qFormat/>
    <w:rsid w:val="00CA6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F9B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5F9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96"/>
  </w:style>
  <w:style w:type="paragraph" w:styleId="ListParagraph">
    <w:name w:val="List Paragraph"/>
    <w:basedOn w:val="Normal"/>
    <w:uiPriority w:val="34"/>
    <w:qFormat/>
    <w:rsid w:val="00CA6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1B075907F408CBC175FD8E3CF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3C03-77E2-4DCE-9C84-F7A786F8121C}"/>
      </w:docPartPr>
      <w:docPartBody>
        <w:p w:rsidR="00103D7E" w:rsidRDefault="00BC0188" w:rsidP="00BC0188">
          <w:pPr>
            <w:pStyle w:val="64A1B075907F408CBC175FD8E3CFC57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8"/>
    <w:rsid w:val="00103D7E"/>
    <w:rsid w:val="002437F1"/>
    <w:rsid w:val="00523D69"/>
    <w:rsid w:val="00595EB2"/>
    <w:rsid w:val="007E1676"/>
    <w:rsid w:val="0086199F"/>
    <w:rsid w:val="009A4693"/>
    <w:rsid w:val="00A42C18"/>
    <w:rsid w:val="00B16D7B"/>
    <w:rsid w:val="00BC0188"/>
    <w:rsid w:val="00DF17E6"/>
    <w:rsid w:val="00EC5BA3"/>
    <w:rsid w:val="00F00442"/>
    <w:rsid w:val="00F52806"/>
    <w:rsid w:val="00F6790B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7480142674BFFBA664E766E4755C9">
    <w:name w:val="5617480142674BFFBA664E766E4755C9"/>
    <w:rsid w:val="00BC0188"/>
  </w:style>
  <w:style w:type="paragraph" w:customStyle="1" w:styleId="73B40073A4DE40239073D2DFBAAB1608">
    <w:name w:val="73B40073A4DE40239073D2DFBAAB1608"/>
    <w:rsid w:val="00BC0188"/>
  </w:style>
  <w:style w:type="paragraph" w:customStyle="1" w:styleId="399F34A37E2C473985B6A585C0F5A145">
    <w:name w:val="399F34A37E2C473985B6A585C0F5A145"/>
    <w:rsid w:val="00BC0188"/>
  </w:style>
  <w:style w:type="paragraph" w:customStyle="1" w:styleId="B589B7D99C7E4625B0B6BF65E391446E">
    <w:name w:val="B589B7D99C7E4625B0B6BF65E391446E"/>
    <w:rsid w:val="00BC0188"/>
  </w:style>
  <w:style w:type="paragraph" w:customStyle="1" w:styleId="64A1B075907F408CBC175FD8E3CFC57F">
    <w:name w:val="64A1B075907F408CBC175FD8E3CFC57F"/>
    <w:rsid w:val="00BC0188"/>
  </w:style>
  <w:style w:type="paragraph" w:customStyle="1" w:styleId="D70F582B600A4AFAB660DAEBD1E7206B">
    <w:name w:val="D70F582B600A4AFAB660DAEBD1E7206B"/>
    <w:rsid w:val="00BC0188"/>
  </w:style>
  <w:style w:type="paragraph" w:customStyle="1" w:styleId="FD363C3939354C5185DEAA66F7EFC829">
    <w:name w:val="FD363C3939354C5185DEAA66F7EFC829"/>
    <w:rsid w:val="00BC0188"/>
  </w:style>
  <w:style w:type="paragraph" w:customStyle="1" w:styleId="1E53E77D611340A5BAEF33647AAC3D11">
    <w:name w:val="1E53E77D611340A5BAEF33647AAC3D11"/>
    <w:rsid w:val="00BC0188"/>
  </w:style>
  <w:style w:type="paragraph" w:customStyle="1" w:styleId="413A5CCF8105406EA5BB05A83457AB62">
    <w:name w:val="413A5CCF8105406EA5BB05A83457AB62"/>
    <w:rsid w:val="00BC0188"/>
  </w:style>
  <w:style w:type="paragraph" w:customStyle="1" w:styleId="63CF7CDE72D14BFEBAAF972497C99BC0">
    <w:name w:val="63CF7CDE72D14BFEBAAF972497C99BC0"/>
    <w:rsid w:val="00BC0188"/>
  </w:style>
  <w:style w:type="paragraph" w:customStyle="1" w:styleId="272E0E660AF14E71BCB1B6FAA68E4812">
    <w:name w:val="272E0E660AF14E71BCB1B6FAA68E4812"/>
    <w:rsid w:val="00103D7E"/>
  </w:style>
  <w:style w:type="paragraph" w:customStyle="1" w:styleId="DB77574CDD824552A29EC5851973CB80">
    <w:name w:val="DB77574CDD824552A29EC5851973CB80"/>
    <w:rsid w:val="00103D7E"/>
  </w:style>
  <w:style w:type="paragraph" w:customStyle="1" w:styleId="9A3F95BFA27648DF99A6216E7161B4D3">
    <w:name w:val="9A3F95BFA27648DF99A6216E7161B4D3"/>
    <w:rsid w:val="00F52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7480142674BFFBA664E766E4755C9">
    <w:name w:val="5617480142674BFFBA664E766E4755C9"/>
    <w:rsid w:val="00BC0188"/>
  </w:style>
  <w:style w:type="paragraph" w:customStyle="1" w:styleId="73B40073A4DE40239073D2DFBAAB1608">
    <w:name w:val="73B40073A4DE40239073D2DFBAAB1608"/>
    <w:rsid w:val="00BC0188"/>
  </w:style>
  <w:style w:type="paragraph" w:customStyle="1" w:styleId="399F34A37E2C473985B6A585C0F5A145">
    <w:name w:val="399F34A37E2C473985B6A585C0F5A145"/>
    <w:rsid w:val="00BC0188"/>
  </w:style>
  <w:style w:type="paragraph" w:customStyle="1" w:styleId="B589B7D99C7E4625B0B6BF65E391446E">
    <w:name w:val="B589B7D99C7E4625B0B6BF65E391446E"/>
    <w:rsid w:val="00BC0188"/>
  </w:style>
  <w:style w:type="paragraph" w:customStyle="1" w:styleId="64A1B075907F408CBC175FD8E3CFC57F">
    <w:name w:val="64A1B075907F408CBC175FD8E3CFC57F"/>
    <w:rsid w:val="00BC0188"/>
  </w:style>
  <w:style w:type="paragraph" w:customStyle="1" w:styleId="D70F582B600A4AFAB660DAEBD1E7206B">
    <w:name w:val="D70F582B600A4AFAB660DAEBD1E7206B"/>
    <w:rsid w:val="00BC0188"/>
  </w:style>
  <w:style w:type="paragraph" w:customStyle="1" w:styleId="FD363C3939354C5185DEAA66F7EFC829">
    <w:name w:val="FD363C3939354C5185DEAA66F7EFC829"/>
    <w:rsid w:val="00BC0188"/>
  </w:style>
  <w:style w:type="paragraph" w:customStyle="1" w:styleId="1E53E77D611340A5BAEF33647AAC3D11">
    <w:name w:val="1E53E77D611340A5BAEF33647AAC3D11"/>
    <w:rsid w:val="00BC0188"/>
  </w:style>
  <w:style w:type="paragraph" w:customStyle="1" w:styleId="413A5CCF8105406EA5BB05A83457AB62">
    <w:name w:val="413A5CCF8105406EA5BB05A83457AB62"/>
    <w:rsid w:val="00BC0188"/>
  </w:style>
  <w:style w:type="paragraph" w:customStyle="1" w:styleId="63CF7CDE72D14BFEBAAF972497C99BC0">
    <w:name w:val="63CF7CDE72D14BFEBAAF972497C99BC0"/>
    <w:rsid w:val="00BC0188"/>
  </w:style>
  <w:style w:type="paragraph" w:customStyle="1" w:styleId="272E0E660AF14E71BCB1B6FAA68E4812">
    <w:name w:val="272E0E660AF14E71BCB1B6FAA68E4812"/>
    <w:rsid w:val="00103D7E"/>
  </w:style>
  <w:style w:type="paragraph" w:customStyle="1" w:styleId="DB77574CDD824552A29EC5851973CB80">
    <w:name w:val="DB77574CDD824552A29EC5851973CB80"/>
    <w:rsid w:val="00103D7E"/>
  </w:style>
  <w:style w:type="paragraph" w:customStyle="1" w:styleId="9A3F95BFA27648DF99A6216E7161B4D3">
    <w:name w:val="9A3F95BFA27648DF99A6216E7161B4D3"/>
    <w:rsid w:val="00F5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CADD-6316-4F44-97DC-7A3AED27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pages that follow the Learning Plan Template includes  student readings and reading strategy/questions, source(s), handouts, assignment sheet, self-assessment/reflection and a rubric related to this lesson.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Anderson, Katie</cp:lastModifiedBy>
  <cp:revision>5</cp:revision>
  <cp:lastPrinted>2013-08-27T21:07:00Z</cp:lastPrinted>
  <dcterms:created xsi:type="dcterms:W3CDTF">2014-02-13T22:17:00Z</dcterms:created>
  <dcterms:modified xsi:type="dcterms:W3CDTF">2014-05-06T20:32:00Z</dcterms:modified>
</cp:coreProperties>
</file>