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1" w:rsidRPr="00473678" w:rsidRDefault="00473678" w:rsidP="00473678">
      <w:pPr>
        <w:jc w:val="center"/>
        <w:rPr>
          <w:rFonts w:ascii="Californian FB" w:hAnsi="Californian FB"/>
          <w:b/>
          <w:sz w:val="36"/>
        </w:rPr>
      </w:pPr>
      <w:r w:rsidRPr="00473678">
        <w:rPr>
          <w:rFonts w:ascii="Californian FB" w:hAnsi="Californian FB"/>
          <w:b/>
          <w:sz w:val="36"/>
        </w:rPr>
        <w:t xml:space="preserve">Conceptual </w:t>
      </w:r>
      <w:r w:rsidR="00EC78D1">
        <w:rPr>
          <w:rFonts w:ascii="Californian FB" w:hAnsi="Californian FB"/>
          <w:b/>
          <w:sz w:val="36"/>
        </w:rPr>
        <w:t>Words</w:t>
      </w:r>
      <w:r w:rsidR="006C59DD">
        <w:rPr>
          <w:rFonts w:ascii="Californian FB" w:hAnsi="Californian FB"/>
          <w:b/>
          <w:sz w:val="36"/>
        </w:rPr>
        <w:t xml:space="preserve"> </w:t>
      </w:r>
      <w:r w:rsidR="00EC78D1">
        <w:rPr>
          <w:rFonts w:ascii="Californian FB" w:hAnsi="Californian FB"/>
          <w:b/>
          <w:sz w:val="36"/>
        </w:rPr>
        <w:t xml:space="preserve">&amp; </w:t>
      </w:r>
      <w:r w:rsidR="00FC1E5D">
        <w:rPr>
          <w:rFonts w:ascii="Californian FB" w:hAnsi="Californian FB"/>
          <w:b/>
          <w:sz w:val="36"/>
        </w:rPr>
        <w:t>Phrases</w:t>
      </w:r>
      <w:r w:rsidRPr="00473678">
        <w:rPr>
          <w:rFonts w:ascii="Californian FB" w:hAnsi="Californian FB"/>
          <w:b/>
          <w:sz w:val="36"/>
        </w:rPr>
        <w:t xml:space="preserve"> Sort</w:t>
      </w:r>
    </w:p>
    <w:p w:rsidR="00473678" w:rsidRPr="00B42F16" w:rsidRDefault="00473678" w:rsidP="00473678">
      <w:pPr>
        <w:jc w:val="center"/>
        <w:rPr>
          <w:rFonts w:ascii="Californian FB" w:hAnsi="Californian FB"/>
          <w:sz w:val="26"/>
          <w:szCs w:val="26"/>
        </w:rPr>
      </w:pPr>
      <w:r w:rsidRPr="00B42F16">
        <w:rPr>
          <w:rFonts w:ascii="Californian FB" w:hAnsi="Californian FB"/>
          <w:noProof/>
          <w:sz w:val="26"/>
          <w:szCs w:val="26"/>
        </w:rPr>
        <w:drawing>
          <wp:inline distT="0" distB="0" distL="0" distR="0" wp14:anchorId="284C13E2" wp14:editId="09A37C7A">
            <wp:extent cx="7347098" cy="6358270"/>
            <wp:effectExtent l="152400" t="57150" r="177800" b="615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C1E5D" w:rsidRDefault="00786183" w:rsidP="00FC1E5D">
      <w:p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lastRenderedPageBreak/>
        <w:t xml:space="preserve"> In the article, “What Would Wilson Do?” we are confronted with </w:t>
      </w:r>
      <w:r w:rsidR="003B33BF">
        <w:rPr>
          <w:rFonts w:ascii="Californian FB" w:hAnsi="Californian FB"/>
          <w:sz w:val="26"/>
          <w:szCs w:val="26"/>
        </w:rPr>
        <w:t>three major</w:t>
      </w:r>
      <w:r>
        <w:rPr>
          <w:rFonts w:ascii="Californian FB" w:hAnsi="Californian FB"/>
          <w:sz w:val="26"/>
          <w:szCs w:val="26"/>
        </w:rPr>
        <w:t xml:space="preserve"> concepts as well as a plethora of vocabulary describing those concepts. As with most concepts, the ideas inherent in and characteristic of one concept may also apply to another concept.  </w:t>
      </w:r>
      <w:r w:rsidR="003B33BF">
        <w:rPr>
          <w:rFonts w:ascii="Californian FB" w:hAnsi="Californian FB"/>
          <w:sz w:val="26"/>
          <w:szCs w:val="26"/>
        </w:rPr>
        <w:t xml:space="preserve">For instance, </w:t>
      </w:r>
      <w:r>
        <w:rPr>
          <w:rFonts w:ascii="Californian FB" w:hAnsi="Californian FB"/>
          <w:sz w:val="26"/>
          <w:szCs w:val="26"/>
        </w:rPr>
        <w:t xml:space="preserve">the idea of </w:t>
      </w:r>
      <w:r w:rsidR="003B33BF">
        <w:rPr>
          <w:rFonts w:ascii="Californian FB" w:hAnsi="Californian FB"/>
          <w:sz w:val="26"/>
          <w:szCs w:val="26"/>
        </w:rPr>
        <w:t>“balancing ambition with feasibility and material costs” (#23) can fit with both Realism and Wilsonianism.</w:t>
      </w:r>
      <w:r w:rsidR="00FF75CA">
        <w:rPr>
          <w:rFonts w:ascii="Californian FB" w:hAnsi="Californian FB"/>
          <w:sz w:val="26"/>
          <w:szCs w:val="26"/>
        </w:rPr>
        <w:t xml:space="preserve">  When a concept’s critical characteristics are shared with other concepts, the result can be confusing for students. Consider as an example the concepts of “democracy” and “republic.”</w:t>
      </w:r>
      <w:r w:rsidR="0020165C">
        <w:rPr>
          <w:rFonts w:ascii="Californian FB" w:hAnsi="Californian FB"/>
          <w:sz w:val="26"/>
          <w:szCs w:val="26"/>
        </w:rPr>
        <w:t xml:space="preserve">  These concepts describe very </w:t>
      </w:r>
      <w:r w:rsidR="00FF75CA">
        <w:rPr>
          <w:rFonts w:ascii="Californian FB" w:hAnsi="Californian FB"/>
          <w:sz w:val="26"/>
          <w:szCs w:val="26"/>
        </w:rPr>
        <w:t xml:space="preserve">different ideas but share critical characteristics such as popular sovereignty, voting for officials, rule of law, etc.  Working through a conceptual analysis when a reading is “concept heavy” can be a productive way to </w:t>
      </w:r>
      <w:r w:rsidR="00FF75CA" w:rsidRPr="0020165C">
        <w:rPr>
          <w:rFonts w:ascii="Californian FB" w:hAnsi="Californian FB"/>
          <w:b/>
          <w:sz w:val="26"/>
          <w:szCs w:val="26"/>
        </w:rPr>
        <w:t>read closely and deeply</w:t>
      </w:r>
      <w:r w:rsidR="00FF75CA">
        <w:rPr>
          <w:rFonts w:ascii="Californian FB" w:hAnsi="Californian FB"/>
          <w:sz w:val="26"/>
          <w:szCs w:val="26"/>
        </w:rPr>
        <w:t xml:space="preserve"> as well as to develop an in-depth understanding of the concepts and vocabulary involved.</w:t>
      </w:r>
      <w:r w:rsidR="0020165C">
        <w:rPr>
          <w:rFonts w:ascii="Californian FB" w:hAnsi="Californian FB"/>
          <w:sz w:val="26"/>
          <w:szCs w:val="26"/>
        </w:rPr>
        <w:t xml:space="preserve">  It can also be a great </w:t>
      </w:r>
      <w:r w:rsidR="0020165C" w:rsidRPr="0020165C">
        <w:rPr>
          <w:rFonts w:ascii="Californian FB" w:hAnsi="Californian FB"/>
          <w:b/>
          <w:sz w:val="26"/>
          <w:szCs w:val="26"/>
        </w:rPr>
        <w:t>pre-writing strategy</w:t>
      </w:r>
      <w:r w:rsidR="0020165C">
        <w:rPr>
          <w:rFonts w:ascii="Californian FB" w:hAnsi="Californian FB"/>
          <w:sz w:val="26"/>
          <w:szCs w:val="26"/>
        </w:rPr>
        <w:t xml:space="preserve"> if a compare/contrast analysis is warranted.</w:t>
      </w:r>
    </w:p>
    <w:p w:rsidR="003B33BF" w:rsidRPr="00134FC2" w:rsidRDefault="003B33BF" w:rsidP="00134FC2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134FC2">
        <w:rPr>
          <w:rFonts w:ascii="Californian FB" w:hAnsi="Californian FB"/>
          <w:sz w:val="26"/>
          <w:szCs w:val="26"/>
        </w:rPr>
        <w:t>In your small groups, discuss each of the following 45 words and phrases.  Based on your underst</w:t>
      </w:r>
      <w:r w:rsidR="002F05AD">
        <w:rPr>
          <w:rFonts w:ascii="Californian FB" w:hAnsi="Californian FB"/>
          <w:sz w:val="26"/>
          <w:szCs w:val="26"/>
        </w:rPr>
        <w:t xml:space="preserve">anding of the article, place </w:t>
      </w:r>
      <w:proofErr w:type="gramStart"/>
      <w:r w:rsidR="002F05AD">
        <w:rPr>
          <w:rFonts w:ascii="Californian FB" w:hAnsi="Californian FB"/>
          <w:sz w:val="26"/>
          <w:szCs w:val="26"/>
        </w:rPr>
        <w:t>a</w:t>
      </w:r>
      <w:proofErr w:type="gramEnd"/>
      <w:r w:rsidR="002F05AD">
        <w:rPr>
          <w:rFonts w:ascii="Californian FB" w:hAnsi="Californian FB"/>
          <w:sz w:val="26"/>
          <w:szCs w:val="26"/>
        </w:rPr>
        <w:t xml:space="preserve"> “R,” “I,” and/or “W” in the box</w:t>
      </w:r>
      <w:r w:rsidRPr="00134FC2">
        <w:rPr>
          <w:rFonts w:ascii="Californian FB" w:hAnsi="Californian FB"/>
          <w:sz w:val="26"/>
          <w:szCs w:val="26"/>
        </w:rPr>
        <w:t xml:space="preserve">.  This is not an exact science! Because the author works with these ideas in a fairly fluid manner, it can be difficult to assign </w:t>
      </w:r>
      <w:r w:rsidR="00134FC2" w:rsidRPr="00134FC2">
        <w:rPr>
          <w:rFonts w:ascii="Californian FB" w:hAnsi="Californian FB"/>
          <w:sz w:val="26"/>
          <w:szCs w:val="26"/>
        </w:rPr>
        <w:t>a word to a single area.  The discussion is the most important aspect.</w:t>
      </w:r>
      <w:r w:rsidR="0020165C">
        <w:rPr>
          <w:rFonts w:ascii="Californian FB" w:hAnsi="Californian FB"/>
          <w:sz w:val="26"/>
          <w:szCs w:val="26"/>
        </w:rPr>
        <w:t xml:space="preserve">  Ask one member of the group to make a final decision if a decision eludes the group.</w:t>
      </w:r>
      <w:r w:rsidR="002F05AD">
        <w:rPr>
          <w:rFonts w:ascii="Californian FB" w:hAnsi="Californian FB"/>
          <w:sz w:val="26"/>
          <w:szCs w:val="26"/>
        </w:rPr>
        <w:t xml:space="preserve">  You may also choose to place a word in multiple categories.</w:t>
      </w:r>
    </w:p>
    <w:p w:rsidR="00134FC2" w:rsidRPr="00134FC2" w:rsidRDefault="00134FC2" w:rsidP="00134FC2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134FC2">
        <w:rPr>
          <w:rFonts w:ascii="Californian FB" w:hAnsi="Californian FB"/>
          <w:sz w:val="26"/>
          <w:szCs w:val="26"/>
        </w:rPr>
        <w:t>Discuss vocabulary.  Does the group share an understanding of “sovereignty,” “providential,” “hegemon,” “preemptive,” etc.?</w:t>
      </w:r>
    </w:p>
    <w:p w:rsidR="00134FC2" w:rsidRDefault="00134FC2" w:rsidP="00134FC2">
      <w:pPr>
        <w:pStyle w:val="ListParagraph"/>
        <w:numPr>
          <w:ilvl w:val="0"/>
          <w:numId w:val="2"/>
        </w:numPr>
        <w:rPr>
          <w:rFonts w:ascii="Californian FB" w:hAnsi="Californian FB"/>
          <w:sz w:val="26"/>
          <w:szCs w:val="26"/>
        </w:rPr>
      </w:pPr>
      <w:r w:rsidRPr="00134FC2">
        <w:rPr>
          <w:rFonts w:ascii="Californian FB" w:hAnsi="Californian FB"/>
          <w:sz w:val="26"/>
          <w:szCs w:val="26"/>
        </w:rPr>
        <w:t xml:space="preserve">Finally, come up with your own group definitions of the three major concepts as they are explained in this article: realism, idealism,      </w:t>
      </w:r>
      <w:r w:rsidR="0020165C">
        <w:rPr>
          <w:rFonts w:ascii="Californian FB" w:hAnsi="Californian FB"/>
          <w:sz w:val="26"/>
          <w:szCs w:val="26"/>
        </w:rPr>
        <w:t xml:space="preserve">and </w:t>
      </w:r>
      <w:proofErr w:type="spellStart"/>
      <w:r w:rsidRPr="00134FC2">
        <w:rPr>
          <w:rFonts w:ascii="Californian FB" w:hAnsi="Californian FB"/>
          <w:sz w:val="26"/>
          <w:szCs w:val="26"/>
        </w:rPr>
        <w:t>Wilsonianism</w:t>
      </w:r>
      <w:proofErr w:type="spellEnd"/>
      <w:r w:rsidRPr="00134FC2">
        <w:rPr>
          <w:rFonts w:ascii="Californian FB" w:hAnsi="Californian FB"/>
          <w:sz w:val="26"/>
          <w:szCs w:val="26"/>
        </w:rPr>
        <w:t>.</w:t>
      </w:r>
      <w:r w:rsidR="002F05AD">
        <w:rPr>
          <w:rFonts w:ascii="Californian FB" w:hAnsi="Californian FB"/>
          <w:sz w:val="26"/>
          <w:szCs w:val="26"/>
        </w:rPr>
        <w:t xml:space="preserve"> Write your definitions in on the diagram.</w:t>
      </w:r>
    </w:p>
    <w:p w:rsidR="002F05AD" w:rsidRPr="002F05AD" w:rsidRDefault="002F05AD" w:rsidP="002F05AD">
      <w:pPr>
        <w:rPr>
          <w:rFonts w:ascii="Californian FB" w:hAnsi="Californian FB"/>
          <w:sz w:val="26"/>
          <w:szCs w:val="26"/>
        </w:rPr>
        <w:sectPr w:rsidR="002F05AD" w:rsidRPr="002F05AD" w:rsidSect="00786183">
          <w:pgSz w:w="15840" w:h="12240" w:orient="landscape"/>
          <w:pgMar w:top="720" w:right="720" w:bottom="54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2696"/>
        <w:gridCol w:w="3118"/>
        <w:gridCol w:w="2749"/>
        <w:gridCol w:w="3081"/>
      </w:tblGrid>
      <w:tr w:rsidR="006C59DD" w:rsidRPr="00FF75CA" w:rsidTr="00134FC2">
        <w:trPr>
          <w:trHeight w:val="1476"/>
        </w:trPr>
        <w:tc>
          <w:tcPr>
            <w:tcW w:w="2972" w:type="dxa"/>
          </w:tcPr>
          <w:p w:rsidR="006C59DD" w:rsidRPr="00FF75CA" w:rsidRDefault="006C59DD" w:rsidP="00786183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lastRenderedPageBreak/>
              <w:t>Moral aspiration</w:t>
            </w:r>
          </w:p>
        </w:tc>
        <w:tc>
          <w:tcPr>
            <w:tcW w:w="2696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Prudence</w:t>
            </w:r>
          </w:p>
        </w:tc>
        <w:tc>
          <w:tcPr>
            <w:tcW w:w="3118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Unsentimental caution</w:t>
            </w:r>
          </w:p>
        </w:tc>
        <w:tc>
          <w:tcPr>
            <w:tcW w:w="2749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Single sustainable model for national success</w:t>
            </w:r>
          </w:p>
        </w:tc>
        <w:tc>
          <w:tcPr>
            <w:tcW w:w="3081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Universalizing claims</w:t>
            </w:r>
          </w:p>
        </w:tc>
      </w:tr>
      <w:tr w:rsidR="006C59DD" w:rsidRPr="00FF75CA" w:rsidTr="006470C6">
        <w:trPr>
          <w:trHeight w:val="1476"/>
        </w:trPr>
        <w:tc>
          <w:tcPr>
            <w:tcW w:w="2972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Sovereignty</w:t>
            </w:r>
          </w:p>
        </w:tc>
        <w:tc>
          <w:tcPr>
            <w:tcW w:w="2696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Ceaseless exercise of power</w:t>
            </w:r>
          </w:p>
        </w:tc>
        <w:tc>
          <w:tcPr>
            <w:tcW w:w="3118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Contentious states in tenuous equilibrium</w:t>
            </w:r>
          </w:p>
        </w:tc>
        <w:tc>
          <w:tcPr>
            <w:tcW w:w="2749" w:type="dxa"/>
            <w:tcBorders>
              <w:bottom w:val="single" w:sz="6" w:space="0" w:color="auto"/>
            </w:tcBorders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Appeals to morality and justice</w:t>
            </w:r>
          </w:p>
        </w:tc>
        <w:tc>
          <w:tcPr>
            <w:tcW w:w="3081" w:type="dxa"/>
          </w:tcPr>
          <w:p w:rsidR="00DE14FA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“The strong do what they will and the weak suffer what they might.”</w:t>
            </w:r>
          </w:p>
        </w:tc>
      </w:tr>
      <w:tr w:rsidR="006C59DD" w:rsidRPr="00FF75CA" w:rsidTr="006470C6">
        <w:trPr>
          <w:trHeight w:val="1476"/>
        </w:trPr>
        <w:tc>
          <w:tcPr>
            <w:tcW w:w="2972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International law and permanent peace</w:t>
            </w:r>
          </w:p>
        </w:tc>
        <w:tc>
          <w:tcPr>
            <w:tcW w:w="2696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Utopian</w:t>
            </w:r>
          </w:p>
        </w:tc>
        <w:tc>
          <w:tcPr>
            <w:tcW w:w="3118" w:type="dxa"/>
            <w:tcBorders>
              <w:right w:val="single" w:sz="6" w:space="0" w:color="auto"/>
            </w:tcBorders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 xml:space="preserve">Raison </w:t>
            </w:r>
            <w:proofErr w:type="spellStart"/>
            <w:r w:rsidRPr="00FF75CA">
              <w:rPr>
                <w:rFonts w:ascii="Californian FB" w:hAnsi="Californian FB"/>
                <w:sz w:val="28"/>
                <w:szCs w:val="28"/>
              </w:rPr>
              <w:t>d’etat</w:t>
            </w:r>
            <w:proofErr w:type="spellEnd"/>
            <w:r w:rsidRPr="00FF75CA">
              <w:rPr>
                <w:rFonts w:ascii="Californian FB" w:hAnsi="Californian FB"/>
                <w:sz w:val="28"/>
                <w:szCs w:val="28"/>
              </w:rPr>
              <w:t xml:space="preserve"> (national interest)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Separate and equal stations as sovereign states</w:t>
            </w:r>
          </w:p>
        </w:tc>
        <w:tc>
          <w:tcPr>
            <w:tcW w:w="3081" w:type="dxa"/>
            <w:tcBorders>
              <w:left w:val="single" w:sz="6" w:space="0" w:color="auto"/>
            </w:tcBorders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Only certain kinds of states can be regarded as fully legitimate</w:t>
            </w:r>
          </w:p>
        </w:tc>
      </w:tr>
      <w:tr w:rsidR="006C59DD" w:rsidRPr="00FF75CA" w:rsidTr="006470C6">
        <w:trPr>
          <w:trHeight w:val="1476"/>
        </w:trPr>
        <w:tc>
          <w:tcPr>
            <w:tcW w:w="2972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lastRenderedPageBreak/>
              <w:t>Only states deriving power from the consent of the governed are rightfully constituted</w:t>
            </w:r>
          </w:p>
        </w:tc>
        <w:tc>
          <w:tcPr>
            <w:tcW w:w="2696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A world composed of republics is more peaceful than a world of monarchies</w:t>
            </w:r>
          </w:p>
        </w:tc>
        <w:tc>
          <w:tcPr>
            <w:tcW w:w="3118" w:type="dxa"/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Value driven, morally infused</w:t>
            </w:r>
          </w:p>
        </w:tc>
        <w:tc>
          <w:tcPr>
            <w:tcW w:w="2749" w:type="dxa"/>
            <w:tcBorders>
              <w:top w:val="single" w:sz="6" w:space="0" w:color="auto"/>
            </w:tcBorders>
          </w:tcPr>
          <w:p w:rsidR="006C59DD" w:rsidRPr="00FF75CA" w:rsidRDefault="00DE14FA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Devoted to concepts of international law</w:t>
            </w:r>
          </w:p>
        </w:tc>
        <w:tc>
          <w:tcPr>
            <w:tcW w:w="3081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Providential mission to redeem the world</w:t>
            </w:r>
          </w:p>
        </w:tc>
      </w:tr>
      <w:tr w:rsidR="006C59DD" w:rsidRPr="00FF75CA" w:rsidTr="00134FC2">
        <w:trPr>
          <w:trHeight w:val="1476"/>
        </w:trPr>
        <w:tc>
          <w:tcPr>
            <w:tcW w:w="2972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Transcendent standards of justice</w:t>
            </w:r>
          </w:p>
        </w:tc>
        <w:tc>
          <w:tcPr>
            <w:tcW w:w="2696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Importance of limits</w:t>
            </w:r>
          </w:p>
        </w:tc>
        <w:tc>
          <w:tcPr>
            <w:tcW w:w="3118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Balancing ambition with feasibility and material costs</w:t>
            </w:r>
          </w:p>
        </w:tc>
        <w:tc>
          <w:tcPr>
            <w:tcW w:w="2749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Exporting ideals</w:t>
            </w:r>
          </w:p>
        </w:tc>
        <w:tc>
          <w:tcPr>
            <w:tcW w:w="3081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State security</w:t>
            </w:r>
          </w:p>
        </w:tc>
      </w:tr>
      <w:tr w:rsidR="006C59DD" w:rsidRPr="00FF75CA" w:rsidTr="00134FC2">
        <w:trPr>
          <w:trHeight w:val="1476"/>
        </w:trPr>
        <w:tc>
          <w:tcPr>
            <w:tcW w:w="2972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Project its power</w:t>
            </w:r>
          </w:p>
        </w:tc>
        <w:tc>
          <w:tcPr>
            <w:tcW w:w="2696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Strength to work its will</w:t>
            </w:r>
          </w:p>
        </w:tc>
        <w:tc>
          <w:tcPr>
            <w:tcW w:w="3118" w:type="dxa"/>
          </w:tcPr>
          <w:p w:rsidR="006C59DD" w:rsidRPr="00FF75CA" w:rsidRDefault="001532A0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Great power pursuing worldwide interests commensurate with its capacities</w:t>
            </w:r>
          </w:p>
        </w:tc>
        <w:tc>
          <w:tcPr>
            <w:tcW w:w="2749" w:type="dxa"/>
          </w:tcPr>
          <w:p w:rsidR="006C59DD" w:rsidRPr="00FF75CA" w:rsidRDefault="009E553F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Understand the</w:t>
            </w:r>
            <w:r w:rsidR="001532A0" w:rsidRPr="00FF75CA">
              <w:rPr>
                <w:rFonts w:ascii="Californian FB" w:hAnsi="Californian FB"/>
                <w:sz w:val="28"/>
                <w:szCs w:val="28"/>
              </w:rPr>
              <w:t xml:space="preserve"> difference between ideological aspiration and historical possibility</w:t>
            </w:r>
          </w:p>
        </w:tc>
        <w:tc>
          <w:tcPr>
            <w:tcW w:w="3081" w:type="dxa"/>
          </w:tcPr>
          <w:p w:rsidR="006C59DD" w:rsidRPr="00FF75CA" w:rsidRDefault="009E553F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Fitted ideals to the circumstances confronted</w:t>
            </w:r>
          </w:p>
        </w:tc>
      </w:tr>
      <w:tr w:rsidR="006C59DD" w:rsidRPr="00FF75CA" w:rsidTr="00134FC2">
        <w:trPr>
          <w:trHeight w:val="1476"/>
        </w:trPr>
        <w:tc>
          <w:tcPr>
            <w:tcW w:w="2972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World now bristled with dangers that no single state could contain</w:t>
            </w:r>
          </w:p>
        </w:tc>
        <w:tc>
          <w:tcPr>
            <w:tcW w:w="2696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Prospects that could be seized only by states acting together</w:t>
            </w:r>
          </w:p>
        </w:tc>
        <w:tc>
          <w:tcPr>
            <w:tcW w:w="3118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Isolationism</w:t>
            </w:r>
          </w:p>
        </w:tc>
        <w:tc>
          <w:tcPr>
            <w:tcW w:w="2749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Active engagement with other states to muzzle the dogs of war</w:t>
            </w:r>
          </w:p>
        </w:tc>
        <w:tc>
          <w:tcPr>
            <w:tcW w:w="3081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Adaptation of venerable practices to modern circumstances</w:t>
            </w:r>
          </w:p>
        </w:tc>
      </w:tr>
      <w:tr w:rsidR="006C59DD" w:rsidRPr="00FF75CA" w:rsidTr="00134FC2">
        <w:trPr>
          <w:trHeight w:val="1476"/>
        </w:trPr>
        <w:tc>
          <w:tcPr>
            <w:tcW w:w="2972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An engaged international role</w:t>
            </w:r>
          </w:p>
        </w:tc>
        <w:tc>
          <w:tcPr>
            <w:tcW w:w="2696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Ruling with preemptive Olympian majesty</w:t>
            </w:r>
          </w:p>
        </w:tc>
        <w:tc>
          <w:tcPr>
            <w:tcW w:w="3118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Imperial power</w:t>
            </w:r>
          </w:p>
        </w:tc>
        <w:tc>
          <w:tcPr>
            <w:tcW w:w="2749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 xml:space="preserve">Hegemon: </w:t>
            </w:r>
            <w:r w:rsidR="00B42F16" w:rsidRPr="00FF75CA">
              <w:rPr>
                <w:rFonts w:ascii="Californian FB" w:hAnsi="Californian FB"/>
                <w:sz w:val="28"/>
                <w:szCs w:val="28"/>
              </w:rPr>
              <w:t xml:space="preserve">a </w:t>
            </w:r>
            <w:r w:rsidRPr="00FF75CA">
              <w:rPr>
                <w:rFonts w:ascii="Californian FB" w:hAnsi="Californian FB"/>
                <w:sz w:val="28"/>
                <w:szCs w:val="28"/>
              </w:rPr>
              <w:t xml:space="preserve">guide, </w:t>
            </w:r>
            <w:r w:rsidR="00B42F16" w:rsidRPr="00FF75CA">
              <w:rPr>
                <w:rFonts w:ascii="Californian FB" w:hAnsi="Californian FB"/>
                <w:sz w:val="28"/>
                <w:szCs w:val="28"/>
              </w:rPr>
              <w:t xml:space="preserve">a </w:t>
            </w:r>
            <w:r w:rsidRPr="00FF75CA">
              <w:rPr>
                <w:rFonts w:ascii="Californian FB" w:hAnsi="Californian FB"/>
                <w:sz w:val="28"/>
                <w:szCs w:val="28"/>
              </w:rPr>
              <w:t>leader between consenting groups</w:t>
            </w:r>
          </w:p>
        </w:tc>
        <w:tc>
          <w:tcPr>
            <w:tcW w:w="3081" w:type="dxa"/>
          </w:tcPr>
          <w:p w:rsidR="006C59DD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The responsibility of great states is to serve and not dominate the peoples of the world</w:t>
            </w:r>
          </w:p>
          <w:p w:rsidR="00B42F16" w:rsidRPr="00FF75CA" w:rsidRDefault="00B42F16" w:rsidP="00FC1E5D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  <w:tr w:rsidR="009D7838" w:rsidRPr="00FF75CA" w:rsidTr="00134FC2">
        <w:trPr>
          <w:trHeight w:val="1476"/>
        </w:trPr>
        <w:tc>
          <w:tcPr>
            <w:tcW w:w="2972" w:type="dxa"/>
          </w:tcPr>
          <w:p w:rsidR="009D7838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Pursue its own aggrandizement and material benefit</w:t>
            </w:r>
          </w:p>
        </w:tc>
        <w:tc>
          <w:tcPr>
            <w:tcW w:w="2696" w:type="dxa"/>
          </w:tcPr>
          <w:p w:rsidR="009D7838" w:rsidRPr="00FF75CA" w:rsidRDefault="009D7838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Empire by invitation</w:t>
            </w:r>
          </w:p>
        </w:tc>
        <w:tc>
          <w:tcPr>
            <w:tcW w:w="3118" w:type="dxa"/>
          </w:tcPr>
          <w:p w:rsidR="009D7838" w:rsidRPr="00FF75CA" w:rsidRDefault="00B66061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Predominance is not the same thing as omnipotence</w:t>
            </w:r>
          </w:p>
        </w:tc>
        <w:tc>
          <w:tcPr>
            <w:tcW w:w="2749" w:type="dxa"/>
          </w:tcPr>
          <w:p w:rsidR="009D7838" w:rsidRPr="00FF75CA" w:rsidRDefault="00B66061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Recognize and obey stipulated rules of international behavior</w:t>
            </w:r>
          </w:p>
        </w:tc>
        <w:tc>
          <w:tcPr>
            <w:tcW w:w="3081" w:type="dxa"/>
          </w:tcPr>
          <w:p w:rsidR="009D7838" w:rsidRPr="00FF75CA" w:rsidRDefault="00B42F16" w:rsidP="00B42F16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8"/>
                <w:szCs w:val="28"/>
              </w:rPr>
            </w:pPr>
            <w:r w:rsidRPr="00FF75CA">
              <w:rPr>
                <w:rFonts w:ascii="Californian FB" w:hAnsi="Californian FB"/>
                <w:sz w:val="28"/>
                <w:szCs w:val="28"/>
              </w:rPr>
              <w:t>Multilateral cooperation…acting unilaterally only in the extreme.</w:t>
            </w:r>
          </w:p>
        </w:tc>
      </w:tr>
    </w:tbl>
    <w:p w:rsidR="00FC1E5D" w:rsidRPr="00473678" w:rsidRDefault="00FC1E5D" w:rsidP="00FC1E5D">
      <w:pPr>
        <w:rPr>
          <w:rFonts w:ascii="Californian FB" w:hAnsi="Californian FB"/>
          <w:sz w:val="28"/>
        </w:rPr>
      </w:pPr>
    </w:p>
    <w:sectPr w:rsidR="00FC1E5D" w:rsidRPr="00473678" w:rsidSect="006C59DD">
      <w:type w:val="continuous"/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A4"/>
    <w:multiLevelType w:val="hybridMultilevel"/>
    <w:tmpl w:val="7EA269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57DB5"/>
    <w:multiLevelType w:val="hybridMultilevel"/>
    <w:tmpl w:val="D5303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78"/>
    <w:rsid w:val="00134FC2"/>
    <w:rsid w:val="001532A0"/>
    <w:rsid w:val="0020165C"/>
    <w:rsid w:val="002F05AD"/>
    <w:rsid w:val="00304BDC"/>
    <w:rsid w:val="00394BC5"/>
    <w:rsid w:val="003B33BF"/>
    <w:rsid w:val="00473678"/>
    <w:rsid w:val="006470C6"/>
    <w:rsid w:val="006C59DD"/>
    <w:rsid w:val="006D743F"/>
    <w:rsid w:val="00786183"/>
    <w:rsid w:val="009D7838"/>
    <w:rsid w:val="009E553F"/>
    <w:rsid w:val="00B42F16"/>
    <w:rsid w:val="00B66061"/>
    <w:rsid w:val="00DE14FA"/>
    <w:rsid w:val="00EC78D1"/>
    <w:rsid w:val="00FC1E5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C6A1F-CF27-4824-8E51-43B763C60AB1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F8E344F6-3F05-476A-B5BC-98AC21DC4E15}">
      <dgm:prSet phldrT="[Text]" custT="1"/>
      <dgm:spPr/>
      <dgm:t>
        <a:bodyPr/>
        <a:lstStyle/>
        <a:p>
          <a:r>
            <a:rPr lang="en-US" sz="3600"/>
            <a:t>Realism</a:t>
          </a:r>
        </a:p>
        <a:p>
          <a:endParaRPr lang="en-US" sz="2900"/>
        </a:p>
        <a:p>
          <a:r>
            <a:rPr lang="en-US" sz="2900"/>
            <a:t> </a:t>
          </a:r>
        </a:p>
      </dgm:t>
    </dgm:pt>
    <dgm:pt modelId="{DDF05A09-44FF-4B59-BBA2-C5F5972D6668}" type="parTrans" cxnId="{1F97ED1B-16A9-42CD-83CF-E6E636A56174}">
      <dgm:prSet/>
      <dgm:spPr/>
      <dgm:t>
        <a:bodyPr/>
        <a:lstStyle/>
        <a:p>
          <a:endParaRPr lang="en-US"/>
        </a:p>
      </dgm:t>
    </dgm:pt>
    <dgm:pt modelId="{17B02187-9372-4158-BAA6-9231ED8EA928}" type="sibTrans" cxnId="{1F97ED1B-16A9-42CD-83CF-E6E636A56174}">
      <dgm:prSet/>
      <dgm:spPr/>
      <dgm:t>
        <a:bodyPr/>
        <a:lstStyle/>
        <a:p>
          <a:endParaRPr lang="en-US"/>
        </a:p>
      </dgm:t>
    </dgm:pt>
    <dgm:pt modelId="{B3FD7511-DAB3-4FD9-969D-4DCC3ECC6B2A}">
      <dgm:prSet phldrT="[Text]"/>
      <dgm:spPr/>
      <dgm:t>
        <a:bodyPr/>
        <a:lstStyle/>
        <a:p>
          <a:endParaRPr lang="en-US"/>
        </a:p>
        <a:p>
          <a:r>
            <a:rPr lang="en-US"/>
            <a:t>Wilsonianism</a:t>
          </a:r>
        </a:p>
        <a:p>
          <a:endParaRPr lang="en-US"/>
        </a:p>
      </dgm:t>
    </dgm:pt>
    <dgm:pt modelId="{1FBB1B09-55E8-4D2C-9386-021328263786}" type="parTrans" cxnId="{EB99EB7B-63C0-4D15-BC6A-67231CF899CD}">
      <dgm:prSet/>
      <dgm:spPr/>
      <dgm:t>
        <a:bodyPr/>
        <a:lstStyle/>
        <a:p>
          <a:endParaRPr lang="en-US"/>
        </a:p>
      </dgm:t>
    </dgm:pt>
    <dgm:pt modelId="{007C4024-2C0C-456E-A9DF-B767AB65D661}" type="sibTrans" cxnId="{EB99EB7B-63C0-4D15-BC6A-67231CF899CD}">
      <dgm:prSet/>
      <dgm:spPr/>
      <dgm:t>
        <a:bodyPr/>
        <a:lstStyle/>
        <a:p>
          <a:endParaRPr lang="en-US"/>
        </a:p>
      </dgm:t>
    </dgm:pt>
    <dgm:pt modelId="{889EE8D6-DE8B-4A45-A829-88535BF19F6A}">
      <dgm:prSet phldrT="[Text]"/>
      <dgm:spPr/>
      <dgm:t>
        <a:bodyPr/>
        <a:lstStyle/>
        <a:p>
          <a:r>
            <a:rPr lang="en-US"/>
            <a:t>Idealism</a:t>
          </a:r>
        </a:p>
        <a:p>
          <a:endParaRPr lang="en-US"/>
        </a:p>
        <a:p>
          <a:endParaRPr lang="en-US"/>
        </a:p>
      </dgm:t>
    </dgm:pt>
    <dgm:pt modelId="{04BDD9DF-4D7E-4436-BA2D-171890ECBC09}" type="parTrans" cxnId="{A3DB40C0-C61D-41FE-BF07-AC99A7B793F7}">
      <dgm:prSet/>
      <dgm:spPr/>
      <dgm:t>
        <a:bodyPr/>
        <a:lstStyle/>
        <a:p>
          <a:endParaRPr lang="en-US"/>
        </a:p>
      </dgm:t>
    </dgm:pt>
    <dgm:pt modelId="{30802C6A-B887-49C4-841E-9A6848D33DF4}" type="sibTrans" cxnId="{A3DB40C0-C61D-41FE-BF07-AC99A7B793F7}">
      <dgm:prSet/>
      <dgm:spPr/>
      <dgm:t>
        <a:bodyPr/>
        <a:lstStyle/>
        <a:p>
          <a:endParaRPr lang="en-US"/>
        </a:p>
      </dgm:t>
    </dgm:pt>
    <dgm:pt modelId="{97E430D5-7C89-4F46-A0A3-718E778071E6}" type="pres">
      <dgm:prSet presAssocID="{69CC6A1F-CF27-4824-8E51-43B763C60AB1}" presName="Name0" presStyleCnt="0">
        <dgm:presLayoutVars>
          <dgm:chMax val="7"/>
          <dgm:dir/>
          <dgm:resizeHandles val="exact"/>
        </dgm:presLayoutVars>
      </dgm:prSet>
      <dgm:spPr/>
    </dgm:pt>
    <dgm:pt modelId="{5FBB80AD-A704-4AE4-9E55-D920AD2AE25A}" type="pres">
      <dgm:prSet presAssocID="{69CC6A1F-CF27-4824-8E51-43B763C60AB1}" presName="ellipse1" presStyleLbl="vennNode1" presStyleIdx="0" presStyleCnt="3" custScaleX="108058" custScaleY="1167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2BEEA-4694-4296-BAC7-2F6D842869F8}" type="pres">
      <dgm:prSet presAssocID="{69CC6A1F-CF27-4824-8E51-43B763C60AB1}" presName="ellipse2" presStyleLbl="vennNode1" presStyleIdx="1" presStyleCnt="3" custScaleX="107745" custScaleY="1037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3BCDF3-AD04-4365-947B-3454E38C090E}" type="pres">
      <dgm:prSet presAssocID="{69CC6A1F-CF27-4824-8E51-43B763C60AB1}" presName="ellipse3" presStyleLbl="vennNode1" presStyleIdx="2" presStyleCnt="3" custScaleX="109473" custScaleY="1193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B99EB7B-63C0-4D15-BC6A-67231CF899CD}" srcId="{69CC6A1F-CF27-4824-8E51-43B763C60AB1}" destId="{B3FD7511-DAB3-4FD9-969D-4DCC3ECC6B2A}" srcOrd="1" destOrd="0" parTransId="{1FBB1B09-55E8-4D2C-9386-021328263786}" sibTransId="{007C4024-2C0C-456E-A9DF-B767AB65D661}"/>
    <dgm:cxn modelId="{64D3C2F4-B90A-4F2B-B504-322CAD5A28FE}" type="presOf" srcId="{889EE8D6-DE8B-4A45-A829-88535BF19F6A}" destId="{E13BCDF3-AD04-4365-947B-3454E38C090E}" srcOrd="0" destOrd="0" presId="urn:microsoft.com/office/officeart/2005/8/layout/rings+Icon"/>
    <dgm:cxn modelId="{C2E7277A-D248-4937-B699-F036E0CAEBDF}" type="presOf" srcId="{B3FD7511-DAB3-4FD9-969D-4DCC3ECC6B2A}" destId="{CAA2BEEA-4694-4296-BAC7-2F6D842869F8}" srcOrd="0" destOrd="0" presId="urn:microsoft.com/office/officeart/2005/8/layout/rings+Icon"/>
    <dgm:cxn modelId="{95BADDC4-AD27-4ED1-9E7C-5AAA40067DCB}" type="presOf" srcId="{F8E344F6-3F05-476A-B5BC-98AC21DC4E15}" destId="{5FBB80AD-A704-4AE4-9E55-D920AD2AE25A}" srcOrd="0" destOrd="0" presId="urn:microsoft.com/office/officeart/2005/8/layout/rings+Icon"/>
    <dgm:cxn modelId="{F1CBD9F0-BF2E-43D3-8272-92787950C7B0}" type="presOf" srcId="{69CC6A1F-CF27-4824-8E51-43B763C60AB1}" destId="{97E430D5-7C89-4F46-A0A3-718E778071E6}" srcOrd="0" destOrd="0" presId="urn:microsoft.com/office/officeart/2005/8/layout/rings+Icon"/>
    <dgm:cxn modelId="{1F97ED1B-16A9-42CD-83CF-E6E636A56174}" srcId="{69CC6A1F-CF27-4824-8E51-43B763C60AB1}" destId="{F8E344F6-3F05-476A-B5BC-98AC21DC4E15}" srcOrd="0" destOrd="0" parTransId="{DDF05A09-44FF-4B59-BBA2-C5F5972D6668}" sibTransId="{17B02187-9372-4158-BAA6-9231ED8EA928}"/>
    <dgm:cxn modelId="{A3DB40C0-C61D-41FE-BF07-AC99A7B793F7}" srcId="{69CC6A1F-CF27-4824-8E51-43B763C60AB1}" destId="{889EE8D6-DE8B-4A45-A829-88535BF19F6A}" srcOrd="2" destOrd="0" parTransId="{04BDD9DF-4D7E-4436-BA2D-171890ECBC09}" sibTransId="{30802C6A-B887-49C4-841E-9A6848D33DF4}"/>
    <dgm:cxn modelId="{96F87A5E-28DC-4317-8075-052188624593}" type="presParOf" srcId="{97E430D5-7C89-4F46-A0A3-718E778071E6}" destId="{5FBB80AD-A704-4AE4-9E55-D920AD2AE25A}" srcOrd="0" destOrd="0" presId="urn:microsoft.com/office/officeart/2005/8/layout/rings+Icon"/>
    <dgm:cxn modelId="{3D83DB31-DB94-40D8-A118-A397978F2DB0}" type="presParOf" srcId="{97E430D5-7C89-4F46-A0A3-718E778071E6}" destId="{CAA2BEEA-4694-4296-BAC7-2F6D842869F8}" srcOrd="1" destOrd="0" presId="urn:microsoft.com/office/officeart/2005/8/layout/rings+Icon"/>
    <dgm:cxn modelId="{6B8B874A-AA93-4D07-9699-EFC539DC809E}" type="presParOf" srcId="{97E430D5-7C89-4F46-A0A3-718E778071E6}" destId="{E13BCDF3-AD04-4365-947B-3454E38C090E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BB80AD-A704-4AE4-9E55-D920AD2AE25A}">
      <dsp:nvSpPr>
        <dsp:cNvPr id="0" name=""/>
        <dsp:cNvSpPr/>
      </dsp:nvSpPr>
      <dsp:spPr>
        <a:xfrm>
          <a:off x="-158716" y="-4"/>
          <a:ext cx="3913195" cy="422667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Realism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kern="1200"/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 </a:t>
          </a:r>
        </a:p>
      </dsp:txBody>
      <dsp:txXfrm>
        <a:off x="414358" y="618978"/>
        <a:ext cx="2767047" cy="2988710"/>
      </dsp:txXfrm>
    </dsp:sp>
    <dsp:sp modelId="{CAA2BEEA-4694-4296-BAC7-2F6D842869F8}">
      <dsp:nvSpPr>
        <dsp:cNvPr id="0" name=""/>
        <dsp:cNvSpPr/>
      </dsp:nvSpPr>
      <dsp:spPr>
        <a:xfrm>
          <a:off x="1710909" y="2650519"/>
          <a:ext cx="3901860" cy="375608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Wilsonianism</a:t>
          </a:r>
        </a:p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2282323" y="3200584"/>
        <a:ext cx="2759032" cy="2655952"/>
      </dsp:txXfrm>
    </dsp:sp>
    <dsp:sp modelId="{E13BCDF3-AD04-4365-947B-3454E38C090E}">
      <dsp:nvSpPr>
        <dsp:cNvPr id="0" name=""/>
        <dsp:cNvSpPr/>
      </dsp:nvSpPr>
      <dsp:spPr>
        <a:xfrm>
          <a:off x="3541375" y="-48331"/>
          <a:ext cx="3964438" cy="432332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Idealism</a:t>
          </a:r>
        </a:p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4121954" y="584806"/>
        <a:ext cx="2803280" cy="3057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4</cp:revision>
  <cp:lastPrinted>2013-11-05T20:46:00Z</cp:lastPrinted>
  <dcterms:created xsi:type="dcterms:W3CDTF">2013-11-01T19:05:00Z</dcterms:created>
  <dcterms:modified xsi:type="dcterms:W3CDTF">2013-11-05T20:46:00Z</dcterms:modified>
</cp:coreProperties>
</file>