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C3EC" w14:textId="77777777" w:rsidR="00F12309" w:rsidRPr="00F12309" w:rsidRDefault="00F12309" w:rsidP="00F12309">
      <w:pPr>
        <w:shd w:val="clear" w:color="auto" w:fill="FFFFFF"/>
        <w:jc w:val="center"/>
        <w:rPr>
          <w:rFonts w:eastAsia="Times New Roman" w:cs="Times New Roman"/>
          <w:b/>
          <w:bCs/>
          <w:color w:val="244064"/>
          <w:sz w:val="20"/>
          <w:szCs w:val="20"/>
        </w:rPr>
      </w:pPr>
      <w:bookmarkStart w:id="0" w:name="_GoBack"/>
      <w:bookmarkEnd w:id="0"/>
      <w:r w:rsidRPr="00F12309">
        <w:rPr>
          <w:rFonts w:eastAsia="Times New Roman" w:cs="Times New Roman"/>
          <w:b/>
          <w:bCs/>
          <w:color w:val="244064"/>
          <w:sz w:val="20"/>
          <w:szCs w:val="20"/>
        </w:rPr>
        <w:t>The Covenant of the League of Nations</w:t>
      </w:r>
      <w:r w:rsidR="00DA66C8" w:rsidRPr="00DA66C8">
        <w:rPr>
          <w:rFonts w:eastAsia="Times New Roman" w:cs="Times New Roman"/>
          <w:b/>
          <w:bCs/>
          <w:color w:val="244064"/>
          <w:sz w:val="20"/>
          <w:szCs w:val="20"/>
        </w:rPr>
        <w:t xml:space="preserve"> (Excerpt)</w:t>
      </w:r>
    </w:p>
    <w:p w14:paraId="30B41BB0"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r w:rsidRPr="00F12309">
        <w:rPr>
          <w:rFonts w:eastAsia="Times New Roman" w:cs="Arial"/>
          <w:b/>
          <w:bCs/>
          <w:color w:val="000000"/>
          <w:sz w:val="20"/>
          <w:szCs w:val="20"/>
        </w:rPr>
        <w:t>THE HIGH CONTRACTING PARTIES,</w:t>
      </w:r>
    </w:p>
    <w:p w14:paraId="0896F872"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In order to promote international co-operation and to achieve international peace and security</w:t>
      </w:r>
    </w:p>
    <w:p w14:paraId="22C5E829"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by the acceptance of obligations not to resort to war,</w:t>
      </w:r>
      <w:r w:rsidRPr="00DA66C8">
        <w:rPr>
          <w:rFonts w:eastAsia="Times New Roman" w:cs="Arial"/>
          <w:color w:val="000000"/>
          <w:sz w:val="20"/>
          <w:szCs w:val="20"/>
        </w:rPr>
        <w:t> </w:t>
      </w:r>
    </w:p>
    <w:p w14:paraId="1D682FF5"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by the prescription of open, just and honourable relations between nations,</w:t>
      </w:r>
      <w:r w:rsidRPr="00DA66C8">
        <w:rPr>
          <w:rFonts w:eastAsia="Times New Roman" w:cs="Arial"/>
          <w:color w:val="000000"/>
          <w:sz w:val="20"/>
          <w:szCs w:val="20"/>
        </w:rPr>
        <w:t> </w:t>
      </w:r>
    </w:p>
    <w:p w14:paraId="41049349"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by the firm establishment of the understandings of international law as the actual rule of conduct among Governments, and</w:t>
      </w:r>
      <w:r w:rsidRPr="00DA66C8">
        <w:rPr>
          <w:rFonts w:eastAsia="Times New Roman" w:cs="Arial"/>
          <w:color w:val="000000"/>
          <w:sz w:val="20"/>
          <w:szCs w:val="20"/>
        </w:rPr>
        <w:t> </w:t>
      </w:r>
    </w:p>
    <w:p w14:paraId="679323B8"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by the maintenance of justice and a scrupulous respect for all treaty obligations in the dealings of organised peoples with one another,</w:t>
      </w:r>
    </w:p>
    <w:p w14:paraId="12CE3FA2"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Agree to this Covenant of the League of Nations.</w:t>
      </w:r>
    </w:p>
    <w:p w14:paraId="0D6BF203"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1" w:name="art8"/>
      <w:r w:rsidRPr="00F12309">
        <w:rPr>
          <w:rFonts w:eastAsia="Times New Roman" w:cs="Arial"/>
          <w:b/>
          <w:bCs/>
          <w:color w:val="000000"/>
          <w:sz w:val="20"/>
          <w:szCs w:val="20"/>
        </w:rPr>
        <w:t>ARTICLE 8.</w:t>
      </w:r>
      <w:bookmarkEnd w:id="1"/>
    </w:p>
    <w:p w14:paraId="01300D7F"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recognise that the maintenance of peace requires the reduction of national armaments to the lowest point consistent with national safety and the enforcement by common action of international obligations.</w:t>
      </w:r>
    </w:p>
    <w:p w14:paraId="2B8281A7"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Council, taking account of the geographical situation and circumstances of each State, shall formulate plans for such reduction for the consideration and action of the several Governments. Such plans shall be subject to reconsideration and revision at least every ten years.</w:t>
      </w:r>
    </w:p>
    <w:p w14:paraId="48B4A635"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After these plans shall have been adopted by the several Governments, the limits of armaments therein fixed shall not be exceeded without the concurrence of the Council.</w:t>
      </w:r>
    </w:p>
    <w:p w14:paraId="5559099F"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agree that the manufacture by private enterprise of munitions and implements of war is open to grave objections. The Council shall advise how the evil effects attendant upon such manufacture can be prevented, due regard being had to the necessities of those Members of the League which are not able to manufacture the munitions and implements of war necessary for their safety.</w:t>
      </w:r>
    </w:p>
    <w:p w14:paraId="53D2EA22"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undertake to interchange full and frank information as to the scale of their armaments, their military, naval and air programmes and the condition of such of their industries as are adaptable to war-like purposes.</w:t>
      </w:r>
    </w:p>
    <w:p w14:paraId="5D6CFE3B"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2" w:name="art10"/>
      <w:r w:rsidRPr="00F12309">
        <w:rPr>
          <w:rFonts w:eastAsia="Times New Roman" w:cs="Arial"/>
          <w:b/>
          <w:bCs/>
          <w:color w:val="000000"/>
          <w:sz w:val="20"/>
          <w:szCs w:val="20"/>
        </w:rPr>
        <w:t>ARTICLE 10.</w:t>
      </w:r>
      <w:bookmarkEnd w:id="2"/>
    </w:p>
    <w:p w14:paraId="3961FC25"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undertake to respect and preserve as against external aggression the territorial integrity and existing political independence of all Members of the League. In case of any such aggression or in case of any threat or danger of such aggression the Council shall advise upon the means by which this obligation shall be fulfilled.</w:t>
      </w:r>
    </w:p>
    <w:p w14:paraId="7F12E1B1" w14:textId="77777777" w:rsidR="00DA66C8" w:rsidRPr="00DA66C8" w:rsidRDefault="00DA66C8" w:rsidP="00F12309">
      <w:pPr>
        <w:shd w:val="clear" w:color="auto" w:fill="FFFFFF"/>
        <w:spacing w:before="100" w:beforeAutospacing="1" w:after="100" w:afterAutospacing="1"/>
        <w:outlineLvl w:val="2"/>
        <w:rPr>
          <w:rFonts w:eastAsia="Times New Roman" w:cs="Arial"/>
          <w:b/>
          <w:bCs/>
          <w:color w:val="000000"/>
          <w:sz w:val="20"/>
          <w:szCs w:val="20"/>
        </w:rPr>
      </w:pPr>
      <w:bookmarkStart w:id="3" w:name="art11"/>
    </w:p>
    <w:p w14:paraId="126943BB"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r w:rsidRPr="00F12309">
        <w:rPr>
          <w:rFonts w:eastAsia="Times New Roman" w:cs="Arial"/>
          <w:b/>
          <w:bCs/>
          <w:color w:val="000000"/>
          <w:sz w:val="20"/>
          <w:szCs w:val="20"/>
        </w:rPr>
        <w:t>ARTICLE 11.</w:t>
      </w:r>
      <w:bookmarkEnd w:id="3"/>
    </w:p>
    <w:p w14:paraId="6B581D4B"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 xml:space="preserve">Any war or threat of war, whether immediately affecting any of the Members of the League or not, is hereby declared a matter of concern to the whole League, and the League shall take any action </w:t>
      </w:r>
      <w:r w:rsidRPr="00F12309">
        <w:rPr>
          <w:rFonts w:cs="Arial"/>
          <w:color w:val="000000"/>
          <w:sz w:val="20"/>
          <w:szCs w:val="20"/>
        </w:rPr>
        <w:lastRenderedPageBreak/>
        <w:t>that may be deemed wise and effectual to safeguard the peace of nations. In case any such emergency should arise the Secretary General shall on the request of any Member of the League forthwith summon a meeting of the Council.</w:t>
      </w:r>
    </w:p>
    <w:p w14:paraId="2E68C793"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It is also declared to be the friendly right of each Member of the League to bring to the attention of the Assembly or of the Council any circumstance whatever affecting international relations which threatens to disturb international peace or the good understanding between nations upon which peace depends.</w:t>
      </w:r>
    </w:p>
    <w:p w14:paraId="04BD19AA"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4" w:name="art12"/>
      <w:r w:rsidRPr="00F12309">
        <w:rPr>
          <w:rFonts w:eastAsia="Times New Roman" w:cs="Arial"/>
          <w:b/>
          <w:bCs/>
          <w:color w:val="000000"/>
          <w:sz w:val="20"/>
          <w:szCs w:val="20"/>
        </w:rPr>
        <w:t>ARTICLE 12.</w:t>
      </w:r>
      <w:bookmarkEnd w:id="4"/>
    </w:p>
    <w:p w14:paraId="658E3844"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agree that, if there should arise between them any dispute likely to lead to a rupture they will submit the matter either to arbitration or judicial settlement or to enquiry by the Council, and they agree in no case to resort to war until three months after the award by the arbitrators or the judicial decision, or the report by the Council. In any case under this Article the award of the arbitrators or the judicial decision shall be made within a reasonable time, and the report of the Council shall be made within six months after the submission of the dispute.</w:t>
      </w:r>
    </w:p>
    <w:p w14:paraId="1C117AAC"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5" w:name="art13"/>
      <w:r w:rsidRPr="00F12309">
        <w:rPr>
          <w:rFonts w:eastAsia="Times New Roman" w:cs="Arial"/>
          <w:b/>
          <w:bCs/>
          <w:color w:val="000000"/>
          <w:sz w:val="20"/>
          <w:szCs w:val="20"/>
        </w:rPr>
        <w:t>ARTICLE 13.</w:t>
      </w:r>
      <w:bookmarkEnd w:id="5"/>
    </w:p>
    <w:p w14:paraId="659BD686"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agree that whenever any dispute shall arise between them which they recognise to be suitable for submission to arbitration or judicial settlement and which cannot be satisfactorily settled by diplomacy, they will submit the whole subject-matter to arbitration or judicial settlement.</w:t>
      </w:r>
    </w:p>
    <w:p w14:paraId="2681BBCE"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Disputes as to the interpretation of a treaty, as to any question of international law, as to the existence of any fact which if established would constitute a breach of any international obligation, or as to the extent and nature of the reparation to be made for any such breach, are declared to be among those which are generally suitable for submission to arbitration or judicial settlement.</w:t>
      </w:r>
    </w:p>
    <w:p w14:paraId="5A0EA19B"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For the consideration of any such dispute, the court to which the case is referred shall be the Permanent Court of International Justice, established in accordance with</w:t>
      </w:r>
      <w:r w:rsidRPr="00DA66C8">
        <w:rPr>
          <w:rFonts w:cs="Arial"/>
          <w:color w:val="000000"/>
          <w:sz w:val="20"/>
          <w:szCs w:val="20"/>
        </w:rPr>
        <w:t> </w:t>
      </w:r>
      <w:hyperlink r:id="rId7" w:anchor="art14" w:history="1">
        <w:r w:rsidRPr="00DA66C8">
          <w:rPr>
            <w:rFonts w:cs="Arial"/>
            <w:color w:val="C2791D"/>
            <w:sz w:val="20"/>
            <w:szCs w:val="20"/>
            <w:u w:val="single"/>
          </w:rPr>
          <w:t>Article 14</w:t>
        </w:r>
      </w:hyperlink>
      <w:r w:rsidRPr="00F12309">
        <w:rPr>
          <w:rFonts w:cs="Arial"/>
          <w:color w:val="000000"/>
          <w:sz w:val="20"/>
          <w:szCs w:val="20"/>
        </w:rPr>
        <w:t>, or any tribunal agreed on by the parties to the dispute or stipulated in any convention existing between them.</w:t>
      </w:r>
    </w:p>
    <w:p w14:paraId="7E5A93FE"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agree that they will carry out in full good faith any award or decision that may be rendered, and that they will not resort to war against a Member of the League which complies therewith. In the event of any failure to carry out such an award or decision, the Council shall propose what steps should be taken to give effect thereto.</w:t>
      </w:r>
    </w:p>
    <w:p w14:paraId="73EC6B8F"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6" w:name="art14"/>
      <w:r w:rsidRPr="00F12309">
        <w:rPr>
          <w:rFonts w:eastAsia="Times New Roman" w:cs="Arial"/>
          <w:b/>
          <w:bCs/>
          <w:color w:val="000000"/>
          <w:sz w:val="20"/>
          <w:szCs w:val="20"/>
        </w:rPr>
        <w:t>ARTICLE 14.</w:t>
      </w:r>
      <w:bookmarkEnd w:id="6"/>
    </w:p>
    <w:p w14:paraId="4FE7498E"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Council shall formulate and submit to the Members of the League for adoption plans for the establishment of a Permanent Court of International Justice. The Court shall be competent to hear and determine any dispute of an international character which the parties thereto submit to it. The Court may also give an advisory opinion upon any dispute or question referred to it by the Council or by the Assembly.</w:t>
      </w:r>
    </w:p>
    <w:p w14:paraId="76FDA91F"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7" w:name="art16"/>
      <w:r w:rsidRPr="00F12309">
        <w:rPr>
          <w:rFonts w:eastAsia="Times New Roman" w:cs="Arial"/>
          <w:b/>
          <w:bCs/>
          <w:color w:val="000000"/>
          <w:sz w:val="20"/>
          <w:szCs w:val="20"/>
        </w:rPr>
        <w:t>ARTICLE 16.</w:t>
      </w:r>
      <w:bookmarkEnd w:id="7"/>
    </w:p>
    <w:p w14:paraId="7C4DF09C"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Should any Member of the League resort to war in disregard of its covenants under</w:t>
      </w:r>
      <w:r w:rsidRPr="00DA66C8">
        <w:rPr>
          <w:rFonts w:cs="Arial"/>
          <w:color w:val="000000"/>
          <w:sz w:val="20"/>
          <w:szCs w:val="20"/>
        </w:rPr>
        <w:t> </w:t>
      </w:r>
      <w:hyperlink r:id="rId8" w:anchor="art12" w:history="1">
        <w:r w:rsidRPr="00DA66C8">
          <w:rPr>
            <w:rFonts w:cs="Arial"/>
            <w:color w:val="C2791D"/>
            <w:sz w:val="20"/>
            <w:szCs w:val="20"/>
            <w:u w:val="single"/>
          </w:rPr>
          <w:t>Articles 12</w:t>
        </w:r>
      </w:hyperlink>
      <w:r w:rsidRPr="00F12309">
        <w:rPr>
          <w:rFonts w:cs="Arial"/>
          <w:color w:val="000000"/>
          <w:sz w:val="20"/>
          <w:szCs w:val="20"/>
        </w:rPr>
        <w:t>,</w:t>
      </w:r>
      <w:r w:rsidRPr="00DA66C8">
        <w:rPr>
          <w:rFonts w:cs="Arial"/>
          <w:color w:val="000000"/>
          <w:sz w:val="20"/>
          <w:szCs w:val="20"/>
        </w:rPr>
        <w:t> </w:t>
      </w:r>
      <w:hyperlink r:id="rId9" w:anchor="art13" w:history="1">
        <w:r w:rsidRPr="00DA66C8">
          <w:rPr>
            <w:rFonts w:cs="Arial"/>
            <w:color w:val="C2791D"/>
            <w:sz w:val="20"/>
            <w:szCs w:val="20"/>
            <w:u w:val="single"/>
          </w:rPr>
          <w:t>13</w:t>
        </w:r>
      </w:hyperlink>
      <w:r w:rsidRPr="00DA66C8">
        <w:rPr>
          <w:rFonts w:cs="Arial"/>
          <w:color w:val="000000"/>
          <w:sz w:val="20"/>
          <w:szCs w:val="20"/>
        </w:rPr>
        <w:t> </w:t>
      </w:r>
      <w:r w:rsidRPr="00F12309">
        <w:rPr>
          <w:rFonts w:cs="Arial"/>
          <w:color w:val="000000"/>
          <w:sz w:val="20"/>
          <w:szCs w:val="20"/>
        </w:rPr>
        <w:t>or</w:t>
      </w:r>
      <w:r w:rsidRPr="00DA66C8">
        <w:rPr>
          <w:rFonts w:cs="Arial"/>
          <w:color w:val="000000"/>
          <w:sz w:val="20"/>
          <w:szCs w:val="20"/>
        </w:rPr>
        <w:t> </w:t>
      </w:r>
      <w:hyperlink r:id="rId10" w:anchor="art15" w:history="1">
        <w:r w:rsidRPr="00DA66C8">
          <w:rPr>
            <w:rFonts w:cs="Arial"/>
            <w:color w:val="C2791D"/>
            <w:sz w:val="20"/>
            <w:szCs w:val="20"/>
            <w:u w:val="single"/>
          </w:rPr>
          <w:t>15</w:t>
        </w:r>
      </w:hyperlink>
      <w:r w:rsidRPr="00F12309">
        <w:rPr>
          <w:rFonts w:cs="Arial"/>
          <w:color w:val="000000"/>
          <w:sz w:val="20"/>
          <w:szCs w:val="20"/>
        </w:rPr>
        <w:t xml:space="preserve">, it shall ipso facto be deemed to have committed an act of war against all other Members of the League, which hereby undertake immediately to subject it to the severance of all trade or </w:t>
      </w:r>
      <w:r w:rsidRPr="00F12309">
        <w:rPr>
          <w:rFonts w:cs="Arial"/>
          <w:color w:val="000000"/>
          <w:sz w:val="20"/>
          <w:szCs w:val="20"/>
        </w:rPr>
        <w:lastRenderedPageBreak/>
        <w:t>financial relations, the prohibition of all intercourse between their nationals and the nationals of the covenant-breaking State, and the prevention of all financial, commercial or personal intercourse between the nationals of the covenant-breaking State and the nationals of any other State, whether a Member of the League or not.</w:t>
      </w:r>
    </w:p>
    <w:p w14:paraId="551495AB"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It shall be the duty of the Council in such case to recommend to the several Governments concerned what effective military, naval or air force the Members of the League shall severally contribute to the armed forces to be used to protect the covenants of the League.</w:t>
      </w:r>
    </w:p>
    <w:p w14:paraId="11BEAAD9"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agree, further, that they will mutually support one another in the financial and economic measures which are taken under this Article, in order to minimise the loss and inconvenience resulting from the above measures, and that they will mutually support one another in resisting any special measures aimed at one of their number by the covenant-breaking State, and that they will take the necessary steps to afford passage through their territory to the forces of any of the Members of the League which are co-operating to protect the covenants of the League.</w:t>
      </w:r>
    </w:p>
    <w:p w14:paraId="5AAD059F"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Any Member of the League which has violated any covenant of the League may be declared to be no longer a Member of the League by a vote of the Council concurred in by the Representatives of all the other Members of the League represented thereon.</w:t>
      </w:r>
    </w:p>
    <w:p w14:paraId="3ABD86D8"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8" w:name="art20"/>
      <w:r w:rsidRPr="00F12309">
        <w:rPr>
          <w:rFonts w:eastAsia="Times New Roman" w:cs="Arial"/>
          <w:b/>
          <w:bCs/>
          <w:color w:val="000000"/>
          <w:sz w:val="20"/>
          <w:szCs w:val="20"/>
        </w:rPr>
        <w:t>ARTICLE 20.</w:t>
      </w:r>
      <w:bookmarkEnd w:id="8"/>
    </w:p>
    <w:p w14:paraId="13EADD65"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severally agree that this Covenant is accepted as abrogating all obligations or understandings inter se which are inconsistent with the terms thereof, and solemnly undertake that they will not hereafter enter into any engagements inconsistent with the terms thereof.</w:t>
      </w:r>
    </w:p>
    <w:p w14:paraId="343C25C3"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In case any Member of the League shall, before becoming a Member of the League, have undertaken any obligations inconsistent with the terms of this Covenant, it shall be the duty of such Member to take immediate steps to procure its release from such obligations.</w:t>
      </w:r>
    </w:p>
    <w:p w14:paraId="02817AEB"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9" w:name="art21"/>
      <w:r w:rsidRPr="00F12309">
        <w:rPr>
          <w:rFonts w:eastAsia="Times New Roman" w:cs="Arial"/>
          <w:b/>
          <w:bCs/>
          <w:color w:val="000000"/>
          <w:sz w:val="20"/>
          <w:szCs w:val="20"/>
        </w:rPr>
        <w:t>ARTICLE 21.</w:t>
      </w:r>
      <w:bookmarkEnd w:id="9"/>
    </w:p>
    <w:p w14:paraId="3C552B04"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Nothing in this Covenant shall be deemed to affect the validity of international engagements, such as treaties of arbitration or regional understandings like the Monroe doctrine, for securing the maintenance of peace.</w:t>
      </w:r>
    </w:p>
    <w:p w14:paraId="2A60014A"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10" w:name="art22"/>
      <w:r w:rsidRPr="00F12309">
        <w:rPr>
          <w:rFonts w:eastAsia="Times New Roman" w:cs="Arial"/>
          <w:b/>
          <w:bCs/>
          <w:color w:val="000000"/>
          <w:sz w:val="20"/>
          <w:szCs w:val="20"/>
        </w:rPr>
        <w:t>ARTICLE 22.</w:t>
      </w:r>
      <w:bookmarkEnd w:id="10"/>
    </w:p>
    <w:p w14:paraId="401E2D47"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To those colonies and territories which as a consequence of the late war have ceased to be under the sovereignty of the States which formerly governed them and which are inhabited by peoples not yet able to stand by themselves under the strenuous conditions of the modern world, there should be applied the principle that the well-being and development of such peoples form a sacred trust of civilisation and that securities for the performance of this trust should be embodied in this Covenant.</w:t>
      </w:r>
    </w:p>
    <w:p w14:paraId="60BBDBE0"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best method of giving practical effect to this principle is that the tutelage of such peoples should be entrusted to advanced nations who by reason of their resources, their experience or their geographical position can best undertake this responsibility, and who are willing to accept it, and that this tutelage should be exercised by them as Mandatories on behalf of the League.</w:t>
      </w:r>
    </w:p>
    <w:p w14:paraId="21EF0D79"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lastRenderedPageBreak/>
        <w:t>The character of the mandate must differ according to the stage of the development of the people, the geographical situation of the territory, its economic conditions and other similar circumstances.</w:t>
      </w:r>
      <w:r w:rsidR="00DA66C8">
        <w:rPr>
          <w:rFonts w:cs="Arial"/>
          <w:color w:val="000000"/>
          <w:sz w:val="20"/>
          <w:szCs w:val="20"/>
        </w:rPr>
        <w:t xml:space="preserve"> . . . </w:t>
      </w:r>
    </w:p>
    <w:p w14:paraId="6AE4A06A"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11" w:name="art23"/>
      <w:r w:rsidRPr="00F12309">
        <w:rPr>
          <w:rFonts w:eastAsia="Times New Roman" w:cs="Arial"/>
          <w:b/>
          <w:bCs/>
          <w:color w:val="000000"/>
          <w:sz w:val="20"/>
          <w:szCs w:val="20"/>
        </w:rPr>
        <w:t>ARTICLE 23.</w:t>
      </w:r>
      <w:bookmarkEnd w:id="11"/>
    </w:p>
    <w:p w14:paraId="5FEAEAF5"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Subject to and in accordance with the provisions of international conventions existing or hereafter to be agreed upon, the Members of the League:</w:t>
      </w:r>
    </w:p>
    <w:p w14:paraId="52449AEF"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(a) will endeavour to secure and maintain fair and humane conditions of labour for men, women, and children, both in their own countries and in all countries to which their commercial and industrial relations extend, and for that purpose will establish and maintain the necessary international organisations;</w:t>
      </w:r>
    </w:p>
    <w:p w14:paraId="2CF8AC2D" w14:textId="77777777" w:rsidR="00F12309" w:rsidRPr="00F12309" w:rsidRDefault="00F12309" w:rsidP="00F12309">
      <w:pPr>
        <w:rPr>
          <w:rFonts w:eastAsia="Times New Roman" w:cs="Times New Roman"/>
          <w:sz w:val="20"/>
          <w:szCs w:val="20"/>
        </w:rPr>
      </w:pPr>
      <w:r w:rsidRPr="00F12309">
        <w:rPr>
          <w:rFonts w:eastAsia="Times New Roman" w:cs="Arial"/>
          <w:color w:val="000000"/>
          <w:sz w:val="20"/>
          <w:szCs w:val="20"/>
        </w:rPr>
        <w:br/>
      </w:r>
    </w:p>
    <w:p w14:paraId="5AF1FCA8"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(b) undertake to secure just treatment of the native inhabitants of territories under their control;</w:t>
      </w:r>
    </w:p>
    <w:p w14:paraId="1076AFB9" w14:textId="77777777" w:rsidR="00F12309" w:rsidRPr="00F12309" w:rsidRDefault="00F12309" w:rsidP="00F12309">
      <w:pPr>
        <w:rPr>
          <w:rFonts w:eastAsia="Times New Roman" w:cs="Times New Roman"/>
          <w:sz w:val="20"/>
          <w:szCs w:val="20"/>
        </w:rPr>
      </w:pPr>
      <w:r w:rsidRPr="00F12309">
        <w:rPr>
          <w:rFonts w:eastAsia="Times New Roman" w:cs="Arial"/>
          <w:color w:val="000000"/>
          <w:sz w:val="20"/>
          <w:szCs w:val="20"/>
        </w:rPr>
        <w:br/>
      </w:r>
    </w:p>
    <w:p w14:paraId="343FF4E5"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(c) will entrust the League with the general supervision over the execution of agreements with regard to the traffic in women and children, and the traffic in opium and other dangerous drugs;</w:t>
      </w:r>
    </w:p>
    <w:p w14:paraId="14A2C0DF" w14:textId="77777777" w:rsidR="00F12309" w:rsidRPr="00F12309" w:rsidRDefault="00F12309" w:rsidP="00F12309">
      <w:pPr>
        <w:rPr>
          <w:rFonts w:eastAsia="Times New Roman" w:cs="Times New Roman"/>
          <w:sz w:val="20"/>
          <w:szCs w:val="20"/>
        </w:rPr>
      </w:pPr>
      <w:r w:rsidRPr="00F12309">
        <w:rPr>
          <w:rFonts w:eastAsia="Times New Roman" w:cs="Arial"/>
          <w:color w:val="000000"/>
          <w:sz w:val="20"/>
          <w:szCs w:val="20"/>
        </w:rPr>
        <w:br/>
      </w:r>
    </w:p>
    <w:p w14:paraId="42CDF005"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(d) will entrust the League with the general supervision of the trade in arms and ammunition with the countries in which the control of this traffic is necessary in the common interest;</w:t>
      </w:r>
    </w:p>
    <w:p w14:paraId="717DD4D1" w14:textId="77777777" w:rsidR="00F12309" w:rsidRPr="00F12309" w:rsidRDefault="00F12309" w:rsidP="00F12309">
      <w:pPr>
        <w:rPr>
          <w:rFonts w:eastAsia="Times New Roman" w:cs="Times New Roman"/>
          <w:sz w:val="20"/>
          <w:szCs w:val="20"/>
        </w:rPr>
      </w:pPr>
      <w:r w:rsidRPr="00F12309">
        <w:rPr>
          <w:rFonts w:eastAsia="Times New Roman" w:cs="Arial"/>
          <w:color w:val="000000"/>
          <w:sz w:val="20"/>
          <w:szCs w:val="20"/>
        </w:rPr>
        <w:br/>
      </w:r>
    </w:p>
    <w:p w14:paraId="035A5070"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(e) will make provision to secure and maintain freedom of communications and of transit and equitable treatment for the commerce of all Members of the League. In this connection, the special necessities of the regions devastated during the war of 1914-1918 shall be borne in mind;</w:t>
      </w:r>
    </w:p>
    <w:p w14:paraId="3ACC8B91" w14:textId="77777777" w:rsidR="00F12309" w:rsidRPr="00F12309" w:rsidRDefault="00F12309" w:rsidP="00F12309">
      <w:pPr>
        <w:rPr>
          <w:rFonts w:eastAsia="Times New Roman" w:cs="Times New Roman"/>
          <w:sz w:val="20"/>
          <w:szCs w:val="20"/>
        </w:rPr>
      </w:pPr>
      <w:r w:rsidRPr="00F12309">
        <w:rPr>
          <w:rFonts w:eastAsia="Times New Roman" w:cs="Arial"/>
          <w:color w:val="000000"/>
          <w:sz w:val="20"/>
          <w:szCs w:val="20"/>
        </w:rPr>
        <w:br/>
      </w:r>
    </w:p>
    <w:p w14:paraId="5412F9F7" w14:textId="77777777" w:rsidR="00F12309" w:rsidRPr="00F12309" w:rsidRDefault="00F12309" w:rsidP="00F12309">
      <w:pPr>
        <w:shd w:val="clear" w:color="auto" w:fill="FFFFFF"/>
        <w:spacing w:line="240" w:lineRule="atLeast"/>
        <w:rPr>
          <w:rFonts w:eastAsia="Times New Roman" w:cs="Arial"/>
          <w:color w:val="000000"/>
          <w:sz w:val="20"/>
          <w:szCs w:val="20"/>
        </w:rPr>
      </w:pPr>
      <w:r w:rsidRPr="00F12309">
        <w:rPr>
          <w:rFonts w:eastAsia="Times New Roman" w:cs="Arial"/>
          <w:color w:val="000000"/>
          <w:sz w:val="20"/>
          <w:szCs w:val="20"/>
        </w:rPr>
        <w:t>(f) will endeavour to take steps in matters of international concern for the prevention and control of disease.</w:t>
      </w:r>
    </w:p>
    <w:p w14:paraId="770C4CB9" w14:textId="77777777" w:rsidR="00F12309" w:rsidRPr="00F12309" w:rsidRDefault="00F12309" w:rsidP="00F12309">
      <w:pPr>
        <w:shd w:val="clear" w:color="auto" w:fill="FFFFFF"/>
        <w:spacing w:before="100" w:beforeAutospacing="1" w:after="100" w:afterAutospacing="1"/>
        <w:outlineLvl w:val="2"/>
        <w:rPr>
          <w:rFonts w:eastAsia="Times New Roman" w:cs="Arial"/>
          <w:b/>
          <w:bCs/>
          <w:color w:val="000000"/>
          <w:sz w:val="20"/>
          <w:szCs w:val="20"/>
        </w:rPr>
      </w:pPr>
      <w:bookmarkStart w:id="12" w:name="art25"/>
      <w:r w:rsidRPr="00F12309">
        <w:rPr>
          <w:rFonts w:eastAsia="Times New Roman" w:cs="Arial"/>
          <w:b/>
          <w:bCs/>
          <w:color w:val="000000"/>
          <w:sz w:val="20"/>
          <w:szCs w:val="20"/>
        </w:rPr>
        <w:t>ARTICLE 25.</w:t>
      </w:r>
      <w:bookmarkEnd w:id="12"/>
    </w:p>
    <w:p w14:paraId="2DE846CD" w14:textId="77777777" w:rsidR="00F12309" w:rsidRPr="00F12309" w:rsidRDefault="00F12309" w:rsidP="00F12309">
      <w:pPr>
        <w:shd w:val="clear" w:color="auto" w:fill="FFFFFF"/>
        <w:spacing w:before="100" w:beforeAutospacing="1" w:after="100" w:afterAutospacing="1" w:line="240" w:lineRule="atLeast"/>
        <w:ind w:firstLine="375"/>
        <w:rPr>
          <w:rFonts w:cs="Arial"/>
          <w:color w:val="000000"/>
          <w:sz w:val="20"/>
          <w:szCs w:val="20"/>
        </w:rPr>
      </w:pPr>
      <w:r w:rsidRPr="00F12309">
        <w:rPr>
          <w:rFonts w:cs="Arial"/>
          <w:color w:val="000000"/>
          <w:sz w:val="20"/>
          <w:szCs w:val="20"/>
        </w:rPr>
        <w:t>The Members of the League agree to encourage and promote the establishment and co-operation of duly authorised voluntary national Red Cross organisations having as purposes the improvement of health, the prevention of disease and the mitigation of suffering throughout the world.</w:t>
      </w:r>
    </w:p>
    <w:p w14:paraId="42F0E809" w14:textId="77777777" w:rsidR="003A50B1" w:rsidRPr="00DA66C8" w:rsidRDefault="003A50B1" w:rsidP="00F12309">
      <w:pPr>
        <w:pStyle w:val="NoSpacing"/>
        <w:rPr>
          <w:sz w:val="20"/>
          <w:szCs w:val="20"/>
        </w:rPr>
      </w:pPr>
    </w:p>
    <w:sectPr w:rsidR="003A50B1" w:rsidRPr="00DA66C8" w:rsidSect="00AD002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6E09" w14:textId="77777777" w:rsidR="00E002E0" w:rsidRDefault="00E002E0" w:rsidP="00DA66C8">
      <w:r>
        <w:separator/>
      </w:r>
    </w:p>
  </w:endnote>
  <w:endnote w:type="continuationSeparator" w:id="0">
    <w:p w14:paraId="44F08FA4" w14:textId="77777777" w:rsidR="00E002E0" w:rsidRDefault="00E002E0" w:rsidP="00DA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31B5" w14:textId="77777777" w:rsidR="00DA66C8" w:rsidRDefault="00DA66C8" w:rsidP="00AC3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BB5A8" w14:textId="77777777" w:rsidR="00DA66C8" w:rsidRDefault="00DA6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36EE" w14:textId="77777777" w:rsidR="00DA66C8" w:rsidRDefault="00DA66C8" w:rsidP="00AC3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451">
      <w:rPr>
        <w:rStyle w:val="PageNumber"/>
        <w:noProof/>
      </w:rPr>
      <w:t>1</w:t>
    </w:r>
    <w:r>
      <w:rPr>
        <w:rStyle w:val="PageNumber"/>
      </w:rPr>
      <w:fldChar w:fldCharType="end"/>
    </w:r>
  </w:p>
  <w:p w14:paraId="23B80EBF" w14:textId="77777777" w:rsidR="00DA66C8" w:rsidRDefault="00DA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9B4E" w14:textId="77777777" w:rsidR="00E002E0" w:rsidRDefault="00E002E0" w:rsidP="00DA66C8">
      <w:r>
        <w:separator/>
      </w:r>
    </w:p>
  </w:footnote>
  <w:footnote w:type="continuationSeparator" w:id="0">
    <w:p w14:paraId="2E5D1869" w14:textId="77777777" w:rsidR="00E002E0" w:rsidRDefault="00E002E0" w:rsidP="00DA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09"/>
    <w:rsid w:val="003A50B1"/>
    <w:rsid w:val="00426451"/>
    <w:rsid w:val="00AD0020"/>
    <w:rsid w:val="00DA66C8"/>
    <w:rsid w:val="00E002E0"/>
    <w:rsid w:val="00F1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9B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230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30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309"/>
    <w:rPr>
      <w:rFonts w:ascii="Times" w:hAnsi="Times"/>
      <w:b/>
      <w:bCs/>
      <w:sz w:val="27"/>
      <w:szCs w:val="27"/>
    </w:rPr>
  </w:style>
  <w:style w:type="character" w:customStyle="1" w:styleId="Heading4Char">
    <w:name w:val="Heading 4 Char"/>
    <w:basedOn w:val="DefaultParagraphFont"/>
    <w:link w:val="Heading4"/>
    <w:uiPriority w:val="9"/>
    <w:rsid w:val="00F12309"/>
    <w:rPr>
      <w:rFonts w:ascii="Times" w:hAnsi="Times"/>
      <w:b/>
      <w:bCs/>
    </w:rPr>
  </w:style>
  <w:style w:type="character" w:styleId="Hyperlink">
    <w:name w:val="Hyperlink"/>
    <w:basedOn w:val="DefaultParagraphFont"/>
    <w:uiPriority w:val="99"/>
    <w:semiHidden/>
    <w:unhideWhenUsed/>
    <w:rsid w:val="00F12309"/>
    <w:rPr>
      <w:color w:val="0000FF"/>
      <w:u w:val="single"/>
    </w:rPr>
  </w:style>
  <w:style w:type="paragraph" w:styleId="NormalWeb">
    <w:name w:val="Normal (Web)"/>
    <w:basedOn w:val="Normal"/>
    <w:uiPriority w:val="99"/>
    <w:semiHidden/>
    <w:unhideWhenUsed/>
    <w:rsid w:val="00F123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2309"/>
  </w:style>
  <w:style w:type="paragraph" w:styleId="NoSpacing">
    <w:name w:val="No Spacing"/>
    <w:uiPriority w:val="1"/>
    <w:qFormat/>
    <w:rsid w:val="00F12309"/>
  </w:style>
  <w:style w:type="paragraph" w:styleId="Footer">
    <w:name w:val="footer"/>
    <w:basedOn w:val="Normal"/>
    <w:link w:val="FooterChar"/>
    <w:uiPriority w:val="99"/>
    <w:unhideWhenUsed/>
    <w:rsid w:val="00DA66C8"/>
    <w:pPr>
      <w:tabs>
        <w:tab w:val="center" w:pos="4320"/>
        <w:tab w:val="right" w:pos="8640"/>
      </w:tabs>
    </w:pPr>
  </w:style>
  <w:style w:type="character" w:customStyle="1" w:styleId="FooterChar">
    <w:name w:val="Footer Char"/>
    <w:basedOn w:val="DefaultParagraphFont"/>
    <w:link w:val="Footer"/>
    <w:uiPriority w:val="99"/>
    <w:rsid w:val="00DA66C8"/>
  </w:style>
  <w:style w:type="character" w:styleId="PageNumber">
    <w:name w:val="page number"/>
    <w:basedOn w:val="DefaultParagraphFont"/>
    <w:uiPriority w:val="99"/>
    <w:semiHidden/>
    <w:unhideWhenUsed/>
    <w:rsid w:val="00DA66C8"/>
  </w:style>
  <w:style w:type="paragraph" w:styleId="BalloonText">
    <w:name w:val="Balloon Text"/>
    <w:basedOn w:val="Normal"/>
    <w:link w:val="BalloonTextChar"/>
    <w:uiPriority w:val="99"/>
    <w:semiHidden/>
    <w:unhideWhenUsed/>
    <w:rsid w:val="00426451"/>
    <w:rPr>
      <w:rFonts w:ascii="Tahoma" w:hAnsi="Tahoma" w:cs="Tahoma"/>
      <w:sz w:val="16"/>
      <w:szCs w:val="16"/>
    </w:rPr>
  </w:style>
  <w:style w:type="character" w:customStyle="1" w:styleId="BalloonTextChar">
    <w:name w:val="Balloon Text Char"/>
    <w:basedOn w:val="DefaultParagraphFont"/>
    <w:link w:val="BalloonText"/>
    <w:uiPriority w:val="99"/>
    <w:semiHidden/>
    <w:rsid w:val="00426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230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30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309"/>
    <w:rPr>
      <w:rFonts w:ascii="Times" w:hAnsi="Times"/>
      <w:b/>
      <w:bCs/>
      <w:sz w:val="27"/>
      <w:szCs w:val="27"/>
    </w:rPr>
  </w:style>
  <w:style w:type="character" w:customStyle="1" w:styleId="Heading4Char">
    <w:name w:val="Heading 4 Char"/>
    <w:basedOn w:val="DefaultParagraphFont"/>
    <w:link w:val="Heading4"/>
    <w:uiPriority w:val="9"/>
    <w:rsid w:val="00F12309"/>
    <w:rPr>
      <w:rFonts w:ascii="Times" w:hAnsi="Times"/>
      <w:b/>
      <w:bCs/>
    </w:rPr>
  </w:style>
  <w:style w:type="character" w:styleId="Hyperlink">
    <w:name w:val="Hyperlink"/>
    <w:basedOn w:val="DefaultParagraphFont"/>
    <w:uiPriority w:val="99"/>
    <w:semiHidden/>
    <w:unhideWhenUsed/>
    <w:rsid w:val="00F12309"/>
    <w:rPr>
      <w:color w:val="0000FF"/>
      <w:u w:val="single"/>
    </w:rPr>
  </w:style>
  <w:style w:type="paragraph" w:styleId="NormalWeb">
    <w:name w:val="Normal (Web)"/>
    <w:basedOn w:val="Normal"/>
    <w:uiPriority w:val="99"/>
    <w:semiHidden/>
    <w:unhideWhenUsed/>
    <w:rsid w:val="00F123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2309"/>
  </w:style>
  <w:style w:type="paragraph" w:styleId="NoSpacing">
    <w:name w:val="No Spacing"/>
    <w:uiPriority w:val="1"/>
    <w:qFormat/>
    <w:rsid w:val="00F12309"/>
  </w:style>
  <w:style w:type="paragraph" w:styleId="Footer">
    <w:name w:val="footer"/>
    <w:basedOn w:val="Normal"/>
    <w:link w:val="FooterChar"/>
    <w:uiPriority w:val="99"/>
    <w:unhideWhenUsed/>
    <w:rsid w:val="00DA66C8"/>
    <w:pPr>
      <w:tabs>
        <w:tab w:val="center" w:pos="4320"/>
        <w:tab w:val="right" w:pos="8640"/>
      </w:tabs>
    </w:pPr>
  </w:style>
  <w:style w:type="character" w:customStyle="1" w:styleId="FooterChar">
    <w:name w:val="Footer Char"/>
    <w:basedOn w:val="DefaultParagraphFont"/>
    <w:link w:val="Footer"/>
    <w:uiPriority w:val="99"/>
    <w:rsid w:val="00DA66C8"/>
  </w:style>
  <w:style w:type="character" w:styleId="PageNumber">
    <w:name w:val="page number"/>
    <w:basedOn w:val="DefaultParagraphFont"/>
    <w:uiPriority w:val="99"/>
    <w:semiHidden/>
    <w:unhideWhenUsed/>
    <w:rsid w:val="00DA66C8"/>
  </w:style>
  <w:style w:type="paragraph" w:styleId="BalloonText">
    <w:name w:val="Balloon Text"/>
    <w:basedOn w:val="Normal"/>
    <w:link w:val="BalloonTextChar"/>
    <w:uiPriority w:val="99"/>
    <w:semiHidden/>
    <w:unhideWhenUsed/>
    <w:rsid w:val="00426451"/>
    <w:rPr>
      <w:rFonts w:ascii="Tahoma" w:hAnsi="Tahoma" w:cs="Tahoma"/>
      <w:sz w:val="16"/>
      <w:szCs w:val="16"/>
    </w:rPr>
  </w:style>
  <w:style w:type="character" w:customStyle="1" w:styleId="BalloonTextChar">
    <w:name w:val="Balloon Text Char"/>
    <w:basedOn w:val="DefaultParagraphFont"/>
    <w:link w:val="BalloonText"/>
    <w:uiPriority w:val="99"/>
    <w:semiHidden/>
    <w:rsid w:val="00426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0767">
      <w:bodyDiv w:val="1"/>
      <w:marLeft w:val="0"/>
      <w:marRight w:val="0"/>
      <w:marTop w:val="0"/>
      <w:marBottom w:val="0"/>
      <w:divBdr>
        <w:top w:val="none" w:sz="0" w:space="0" w:color="auto"/>
        <w:left w:val="none" w:sz="0" w:space="0" w:color="auto"/>
        <w:bottom w:val="none" w:sz="0" w:space="0" w:color="auto"/>
        <w:right w:val="none" w:sz="0" w:space="0" w:color="auto"/>
      </w:divBdr>
      <w:divsChild>
        <w:div w:id="1785610450">
          <w:marLeft w:val="0"/>
          <w:marRight w:val="0"/>
          <w:marTop w:val="0"/>
          <w:marBottom w:val="75"/>
          <w:divBdr>
            <w:top w:val="none" w:sz="0" w:space="0" w:color="auto"/>
            <w:left w:val="none" w:sz="0" w:space="0" w:color="auto"/>
            <w:bottom w:val="none" w:sz="0" w:space="0" w:color="auto"/>
            <w:right w:val="none" w:sz="0" w:space="0" w:color="auto"/>
          </w:divBdr>
        </w:div>
        <w:div w:id="1468474331">
          <w:blockQuote w:val="1"/>
          <w:marLeft w:val="600"/>
          <w:marRight w:val="600"/>
          <w:marTop w:val="100"/>
          <w:marBottom w:val="100"/>
          <w:divBdr>
            <w:top w:val="none" w:sz="0" w:space="0" w:color="auto"/>
            <w:left w:val="none" w:sz="0" w:space="0" w:color="auto"/>
            <w:bottom w:val="none" w:sz="0" w:space="0" w:color="auto"/>
            <w:right w:val="none" w:sz="0" w:space="0" w:color="auto"/>
          </w:divBdr>
        </w:div>
        <w:div w:id="535848762">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leagcov.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20th_century/leagcov.asp"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valon.law.yale.edu/20th_century/leagcov.asp" TargetMode="External"/><Relationship Id="rId4" Type="http://schemas.openxmlformats.org/officeDocument/2006/relationships/webSettings" Target="webSettings.xml"/><Relationship Id="rId9" Type="http://schemas.openxmlformats.org/officeDocument/2006/relationships/hyperlink" Target="http://avalon.law.yale.edu/20th_century/leagcov.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Reid</dc:creator>
  <cp:lastModifiedBy>Orr, Angela</cp:lastModifiedBy>
  <cp:revision>2</cp:revision>
  <cp:lastPrinted>2013-11-06T18:34:00Z</cp:lastPrinted>
  <dcterms:created xsi:type="dcterms:W3CDTF">2013-11-06T18:35:00Z</dcterms:created>
  <dcterms:modified xsi:type="dcterms:W3CDTF">2013-11-06T18:35:00Z</dcterms:modified>
</cp:coreProperties>
</file>